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33B" w:rsidRPr="000B1C4B" w:rsidRDefault="00CA3AAE" w:rsidP="000B1C4B">
      <w:pPr>
        <w:pStyle w:val="a3"/>
        <w:ind w:left="-993"/>
        <w:jc w:val="center"/>
        <w:rPr>
          <w:rFonts w:ascii="Times New Roman" w:hAnsi="Times New Roman" w:cs="Times New Roman"/>
          <w:b/>
          <w:sz w:val="28"/>
          <w:szCs w:val="28"/>
        </w:rPr>
      </w:pPr>
      <w:r w:rsidRPr="000B1C4B">
        <w:rPr>
          <w:rFonts w:ascii="Times New Roman" w:hAnsi="Times New Roman" w:cs="Times New Roman"/>
          <w:b/>
          <w:sz w:val="28"/>
          <w:szCs w:val="28"/>
        </w:rPr>
        <w:t>Тема 4. Взаимоотношения власти, бизнеса и общества как фактор социально-экономического развития</w:t>
      </w:r>
    </w:p>
    <w:p w:rsidR="009A133B"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4.1 Теоретические предпосылки социального партнерства В западной обществоведческой литературе и на практике сложилась традиция подразделения общества на три основных сектора – первый сектор (государство), второй сектор (частный бизнес) и третий сектор (некоммерческие организации). </w:t>
      </w:r>
    </w:p>
    <w:p w:rsidR="009A133B"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Первый сектор – это органы государственной власти и местного самоуправления, государственные и муниципальные предприятия, а также организации в любой сфере деятельности, основанные на государственной и смешанной формах собственности, с преобладающей долей государственного участия. </w:t>
      </w:r>
    </w:p>
    <w:p w:rsidR="009A133B"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Второй сектор известен всем. В Системе национальных счетов к нему относятся сектора «фирмы» и «банки».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Третий сектор называют негосударственным или неправительственным. Он также обозначается как независимый, некоммерческий, или неприбыльный, благотворительный, а также сектором добровольной активности (волонтерским, добровольческим), филантропическим. В </w:t>
      </w:r>
      <w:r w:rsidR="009A133B">
        <w:rPr>
          <w:rFonts w:ascii="Times New Roman" w:hAnsi="Times New Roman" w:cs="Times New Roman"/>
          <w:sz w:val="28"/>
          <w:szCs w:val="28"/>
        </w:rPr>
        <w:t xml:space="preserve">Казахстане </w:t>
      </w:r>
      <w:r w:rsidRPr="00CA3AAE">
        <w:rPr>
          <w:rFonts w:ascii="Times New Roman" w:hAnsi="Times New Roman" w:cs="Times New Roman"/>
          <w:sz w:val="28"/>
          <w:szCs w:val="28"/>
        </w:rPr>
        <w:t>входящие в него организации называют чаще всего некоммерческими (НКО). Официально третий или некоммерческий сектор, «</w:t>
      </w:r>
      <w:r w:rsidRPr="00CA3AAE">
        <w:rPr>
          <w:rFonts w:ascii="Times New Roman" w:hAnsi="Times New Roman" w:cs="Times New Roman"/>
          <w:i/>
          <w:iCs/>
          <w:sz w:val="28"/>
          <w:szCs w:val="28"/>
        </w:rPr>
        <w:t>сектор некоммерческих организаций, обслуживающих домашние хозяйства</w:t>
      </w:r>
      <w:r w:rsidRPr="00CA3AAE">
        <w:rPr>
          <w:rFonts w:ascii="Times New Roman" w:hAnsi="Times New Roman" w:cs="Times New Roman"/>
          <w:sz w:val="28"/>
          <w:szCs w:val="28"/>
        </w:rPr>
        <w:t>», принято рассматривать одним из шести секторов экономики. Это согласуется с международной статистической системой – «Система национальных счетов». В этой «Системе» перечисляются в одном ряду фирмы, банки, «государство», домохозяйства и «зарубежьем» и один из трех секторов. «</w:t>
      </w:r>
      <w:r w:rsidRPr="00CA3AAE">
        <w:rPr>
          <w:rFonts w:ascii="Times New Roman" w:hAnsi="Times New Roman" w:cs="Times New Roman"/>
          <w:i/>
          <w:iCs/>
          <w:sz w:val="28"/>
          <w:szCs w:val="28"/>
        </w:rPr>
        <w:t>Третий сектор</w:t>
      </w:r>
      <w:r w:rsidRPr="00CA3AAE">
        <w:rPr>
          <w:rFonts w:ascii="Times New Roman" w:hAnsi="Times New Roman" w:cs="Times New Roman"/>
          <w:sz w:val="28"/>
          <w:szCs w:val="28"/>
        </w:rPr>
        <w:t>» наряду с «первым сектором» – государством и «вторым» – сферой бизнеса, принято группировать в социологии и политологии [14, с. 105]. Согласно стандартной промышленной классификации (SIC) ООН, результаты функционирования НКО должны быть отнесены к девятой группе товаров и услуг – «услуги связи, коммунальные, общественные и личные виды услуг». В соответствии с системой деления экономики на три сектора, предложенной в 1957 г. К. Кларком, они будут локализованы «</w:t>
      </w:r>
      <w:r w:rsidRPr="00CA3AAE">
        <w:rPr>
          <w:rFonts w:ascii="Times New Roman" w:hAnsi="Times New Roman" w:cs="Times New Roman"/>
          <w:i/>
          <w:iCs/>
          <w:sz w:val="28"/>
          <w:szCs w:val="28"/>
        </w:rPr>
        <w:t>третичным сектором</w:t>
      </w:r>
      <w:r w:rsidRPr="00CA3AAE">
        <w:rPr>
          <w:rFonts w:ascii="Times New Roman" w:hAnsi="Times New Roman" w:cs="Times New Roman"/>
          <w:sz w:val="28"/>
          <w:szCs w:val="28"/>
        </w:rPr>
        <w:t xml:space="preserve">» – сферой услуг [13, с. 27]. Государство, бизнес и общество в лице некоммерческого сектора являются основными элементами системы социального партнерства.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Одну из первых попыток системного анализа социальных конфликтов и способа воздействия на них предпринял итальянский теоретик и государственный деятель </w:t>
      </w:r>
      <w:proofErr w:type="spellStart"/>
      <w:r w:rsidRPr="00CA3AAE">
        <w:rPr>
          <w:rFonts w:ascii="Times New Roman" w:hAnsi="Times New Roman" w:cs="Times New Roman"/>
          <w:i/>
          <w:iCs/>
          <w:sz w:val="28"/>
          <w:szCs w:val="28"/>
        </w:rPr>
        <w:t>Никколо</w:t>
      </w:r>
      <w:proofErr w:type="spellEnd"/>
      <w:r w:rsidRPr="00CA3AAE">
        <w:rPr>
          <w:rFonts w:ascii="Times New Roman" w:hAnsi="Times New Roman" w:cs="Times New Roman"/>
          <w:i/>
          <w:iCs/>
          <w:sz w:val="28"/>
          <w:szCs w:val="28"/>
        </w:rPr>
        <w:t xml:space="preserve"> Макиавелли </w:t>
      </w:r>
      <w:r w:rsidRPr="00CA3AAE">
        <w:rPr>
          <w:rFonts w:ascii="Times New Roman" w:hAnsi="Times New Roman" w:cs="Times New Roman"/>
          <w:sz w:val="28"/>
          <w:szCs w:val="28"/>
        </w:rPr>
        <w:t xml:space="preserve">(1469-1527). Он 61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видел в конфликте не только разрушительную, но и созидательную функцию, считая, что нужно уметь правильно воздействовать на конфликт. Эту миссию, по мнению мыслителя, призвано выполнять государство. Теоретический анализ системы социально-трудовых отношений впервые осуществил английский философ </w:t>
      </w:r>
      <w:proofErr w:type="spellStart"/>
      <w:r w:rsidRPr="00CA3AAE">
        <w:rPr>
          <w:rFonts w:ascii="Times New Roman" w:hAnsi="Times New Roman" w:cs="Times New Roman"/>
          <w:i/>
          <w:iCs/>
          <w:sz w:val="28"/>
          <w:szCs w:val="28"/>
        </w:rPr>
        <w:t>Фрэнсис</w:t>
      </w:r>
      <w:proofErr w:type="spellEnd"/>
      <w:r w:rsidRPr="00CA3AAE">
        <w:rPr>
          <w:rFonts w:ascii="Times New Roman" w:hAnsi="Times New Roman" w:cs="Times New Roman"/>
          <w:i/>
          <w:iCs/>
          <w:sz w:val="28"/>
          <w:szCs w:val="28"/>
        </w:rPr>
        <w:t xml:space="preserve"> Бэкон </w:t>
      </w:r>
      <w:r w:rsidRPr="00CA3AAE">
        <w:rPr>
          <w:rFonts w:ascii="Times New Roman" w:hAnsi="Times New Roman" w:cs="Times New Roman"/>
          <w:sz w:val="28"/>
          <w:szCs w:val="28"/>
        </w:rPr>
        <w:t xml:space="preserve">(1561-1626). Он убедительно показал, что пренебрежение мнениями социальных сословий, ошибки в управлении, распространение слухов и кривотолков ведут к возникновению конфликтов в обществе. Идеи о необходимости оформления общественного договора между людьми в целях самосохранения и вечности частной собственности сформулированы в трудах </w:t>
      </w:r>
      <w:r w:rsidRPr="00CA3AAE">
        <w:rPr>
          <w:rFonts w:ascii="Times New Roman" w:hAnsi="Times New Roman" w:cs="Times New Roman"/>
          <w:i/>
          <w:iCs/>
          <w:sz w:val="28"/>
          <w:szCs w:val="28"/>
        </w:rPr>
        <w:t xml:space="preserve">Томаса Гоббса </w:t>
      </w:r>
      <w:r w:rsidRPr="00CA3AAE">
        <w:rPr>
          <w:rFonts w:ascii="Times New Roman" w:hAnsi="Times New Roman" w:cs="Times New Roman"/>
          <w:sz w:val="28"/>
          <w:szCs w:val="28"/>
        </w:rPr>
        <w:t xml:space="preserve">(1588-1679) «Левиафан» и «Философские элементы учения о гражданине». Одной из первых работ, посвященных сущности и условиям общественного согласия, является труд «Об общественном </w:t>
      </w:r>
      <w:r w:rsidRPr="00CA3AAE">
        <w:rPr>
          <w:rFonts w:ascii="Times New Roman" w:hAnsi="Times New Roman" w:cs="Times New Roman"/>
          <w:sz w:val="28"/>
          <w:szCs w:val="28"/>
        </w:rPr>
        <w:lastRenderedPageBreak/>
        <w:t xml:space="preserve">договоре или принципы политического права» </w:t>
      </w:r>
      <w:r w:rsidRPr="00CA3AAE">
        <w:rPr>
          <w:rFonts w:ascii="Times New Roman" w:hAnsi="Times New Roman" w:cs="Times New Roman"/>
          <w:i/>
          <w:iCs/>
          <w:sz w:val="28"/>
          <w:szCs w:val="28"/>
        </w:rPr>
        <w:t xml:space="preserve">Ж.-Ж. Руссо </w:t>
      </w:r>
      <w:r w:rsidRPr="00CA3AAE">
        <w:rPr>
          <w:rFonts w:ascii="Times New Roman" w:hAnsi="Times New Roman" w:cs="Times New Roman"/>
          <w:sz w:val="28"/>
          <w:szCs w:val="28"/>
        </w:rPr>
        <w:t xml:space="preserve">(1712-1778). В этом трактате, опубликованном в 1762 г., рассматривается общество, основанное на законах, перед которыми все равны и которые сохраняют личную свободу каждого гражданина. По мнению Руссо, совершенное законодательство нельзя создать в результате борьбы партий, члены общества могут выступать только от своего имени, законы принимаются в результате плебисцита, государство должно быть не большим по территории (образец – Швейцария). Важным условием функционирования общественного договора является высокий уровень гражданской зрелости населения [19]. Впервые взаимоотношения наемного работника и капиталиста-работодателя изучены в трудах </w:t>
      </w:r>
      <w:r w:rsidRPr="00CA3AAE">
        <w:rPr>
          <w:rFonts w:ascii="Times New Roman" w:hAnsi="Times New Roman" w:cs="Times New Roman"/>
          <w:i/>
          <w:iCs/>
          <w:sz w:val="28"/>
          <w:szCs w:val="28"/>
        </w:rPr>
        <w:t xml:space="preserve">Адама Смита </w:t>
      </w:r>
      <w:r w:rsidRPr="00CA3AAE">
        <w:rPr>
          <w:rFonts w:ascii="Times New Roman" w:hAnsi="Times New Roman" w:cs="Times New Roman"/>
          <w:sz w:val="28"/>
          <w:szCs w:val="28"/>
        </w:rPr>
        <w:t xml:space="preserve">(1723-1790). Признавая корыстный интерес основным мотивом хозяйственной деятельности, он считал «естественным порядком» экономической жизни свободную конкуренцию, господство частной собственности, свободу торговли, невмешательство государства в экономику. Противоборство между наемными работниками и капиталистами А. Смит рассматривал как источник поступательного развития общества, а соперничество – как определенное благо человечества. Немецкие философы </w:t>
      </w:r>
      <w:r w:rsidRPr="00CA3AAE">
        <w:rPr>
          <w:rFonts w:ascii="Times New Roman" w:hAnsi="Times New Roman" w:cs="Times New Roman"/>
          <w:i/>
          <w:iCs/>
          <w:sz w:val="28"/>
          <w:szCs w:val="28"/>
        </w:rPr>
        <w:t xml:space="preserve">Готфрид Лейбниц </w:t>
      </w:r>
      <w:r w:rsidRPr="00CA3AAE">
        <w:rPr>
          <w:rFonts w:ascii="Times New Roman" w:hAnsi="Times New Roman" w:cs="Times New Roman"/>
          <w:sz w:val="28"/>
          <w:szCs w:val="28"/>
        </w:rPr>
        <w:t xml:space="preserve">(1646-1716) и </w:t>
      </w:r>
      <w:proofErr w:type="spellStart"/>
      <w:r w:rsidRPr="00CA3AAE">
        <w:rPr>
          <w:rFonts w:ascii="Times New Roman" w:hAnsi="Times New Roman" w:cs="Times New Roman"/>
          <w:i/>
          <w:iCs/>
          <w:sz w:val="28"/>
          <w:szCs w:val="28"/>
        </w:rPr>
        <w:t>Иммануил</w:t>
      </w:r>
      <w:proofErr w:type="spellEnd"/>
      <w:r w:rsidRPr="00CA3AAE">
        <w:rPr>
          <w:rFonts w:ascii="Times New Roman" w:hAnsi="Times New Roman" w:cs="Times New Roman"/>
          <w:i/>
          <w:iCs/>
          <w:sz w:val="28"/>
          <w:szCs w:val="28"/>
        </w:rPr>
        <w:t xml:space="preserve"> Кант </w:t>
      </w:r>
      <w:r w:rsidRPr="00CA3AAE">
        <w:rPr>
          <w:rFonts w:ascii="Times New Roman" w:hAnsi="Times New Roman" w:cs="Times New Roman"/>
          <w:sz w:val="28"/>
          <w:szCs w:val="28"/>
        </w:rPr>
        <w:t xml:space="preserve">(1724–1804) считали, что состояние мира и согласия между людьми должно устанавливаться на основе договора и достижения компромисса в общественно-экономической жизни. И. Кант, анализируя проблему связи соотносящихся сторон, рассматривал человеческие отношения как систему их взаимодействия. 62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Концепции справедливого обмена между товаропроизводителями, идеи борьбы различных социальных сил исследовал </w:t>
      </w:r>
      <w:r w:rsidRPr="00CA3AAE">
        <w:rPr>
          <w:rFonts w:ascii="Times New Roman" w:hAnsi="Times New Roman" w:cs="Times New Roman"/>
          <w:i/>
          <w:iCs/>
          <w:sz w:val="28"/>
          <w:szCs w:val="28"/>
        </w:rPr>
        <w:t xml:space="preserve">Пьер Жозеф Прудон </w:t>
      </w:r>
      <w:r w:rsidRPr="00CA3AAE">
        <w:rPr>
          <w:rFonts w:ascii="Times New Roman" w:hAnsi="Times New Roman" w:cs="Times New Roman"/>
          <w:sz w:val="28"/>
          <w:szCs w:val="28"/>
        </w:rPr>
        <w:t xml:space="preserve">(1809-1865). Французский утопист, участник двух революций 1830 и 1848 гг. </w:t>
      </w:r>
      <w:r w:rsidRPr="00CA3AAE">
        <w:rPr>
          <w:rFonts w:ascii="Times New Roman" w:hAnsi="Times New Roman" w:cs="Times New Roman"/>
          <w:i/>
          <w:iCs/>
          <w:sz w:val="28"/>
          <w:szCs w:val="28"/>
        </w:rPr>
        <w:t xml:space="preserve">Луи Огюст Бланки </w:t>
      </w:r>
      <w:r w:rsidRPr="00CA3AAE">
        <w:rPr>
          <w:rFonts w:ascii="Times New Roman" w:hAnsi="Times New Roman" w:cs="Times New Roman"/>
          <w:sz w:val="28"/>
          <w:szCs w:val="28"/>
        </w:rPr>
        <w:t xml:space="preserve">(1805-1861 гг.), проведший почти половину своей жизни в заключении, дважды приговоренный к смертной казни, резко критикуя капиталистическое общество, раскрывал борьбу национальных сил и объяснял исторический прогресс распространением просвещения и формированием на этой основе цивилизованных общественных отношений. </w:t>
      </w:r>
      <w:proofErr w:type="gramStart"/>
      <w:r w:rsidRPr="00CA3AAE">
        <w:rPr>
          <w:rFonts w:ascii="Times New Roman" w:hAnsi="Times New Roman" w:cs="Times New Roman"/>
          <w:sz w:val="28"/>
          <w:szCs w:val="28"/>
        </w:rPr>
        <w:t>По существу</w:t>
      </w:r>
      <w:proofErr w:type="gramEnd"/>
      <w:r w:rsidRPr="00CA3AAE">
        <w:rPr>
          <w:rFonts w:ascii="Times New Roman" w:hAnsi="Times New Roman" w:cs="Times New Roman"/>
          <w:sz w:val="28"/>
          <w:szCs w:val="28"/>
        </w:rPr>
        <w:t xml:space="preserve"> теоретико-концептуальные основы социального партнерства находят свое воплощение в разработке теорий социального действия (</w:t>
      </w:r>
      <w:r w:rsidRPr="00CA3AAE">
        <w:rPr>
          <w:rFonts w:ascii="Times New Roman" w:hAnsi="Times New Roman" w:cs="Times New Roman"/>
          <w:i/>
          <w:iCs/>
          <w:sz w:val="28"/>
          <w:szCs w:val="28"/>
        </w:rPr>
        <w:t xml:space="preserve">Макс Вебер, </w:t>
      </w:r>
      <w:proofErr w:type="spellStart"/>
      <w:r w:rsidRPr="00CA3AAE">
        <w:rPr>
          <w:rFonts w:ascii="Times New Roman" w:hAnsi="Times New Roman" w:cs="Times New Roman"/>
          <w:i/>
          <w:iCs/>
          <w:sz w:val="28"/>
          <w:szCs w:val="28"/>
        </w:rPr>
        <w:t>Талкотт</w:t>
      </w:r>
      <w:proofErr w:type="spellEnd"/>
      <w:r w:rsidRPr="00CA3AAE">
        <w:rPr>
          <w:rFonts w:ascii="Times New Roman" w:hAnsi="Times New Roman" w:cs="Times New Roman"/>
          <w:i/>
          <w:iCs/>
          <w:sz w:val="28"/>
          <w:szCs w:val="28"/>
        </w:rPr>
        <w:t xml:space="preserve"> </w:t>
      </w:r>
      <w:proofErr w:type="spellStart"/>
      <w:r w:rsidRPr="00CA3AAE">
        <w:rPr>
          <w:rFonts w:ascii="Times New Roman" w:hAnsi="Times New Roman" w:cs="Times New Roman"/>
          <w:i/>
          <w:iCs/>
          <w:sz w:val="28"/>
          <w:szCs w:val="28"/>
        </w:rPr>
        <w:t>Парсонс</w:t>
      </w:r>
      <w:proofErr w:type="spellEnd"/>
      <w:r w:rsidRPr="00CA3AAE">
        <w:rPr>
          <w:rFonts w:ascii="Times New Roman" w:hAnsi="Times New Roman" w:cs="Times New Roman"/>
          <w:sz w:val="28"/>
          <w:szCs w:val="28"/>
        </w:rPr>
        <w:t>), социальной солидарности (</w:t>
      </w:r>
      <w:r w:rsidRPr="00CA3AAE">
        <w:rPr>
          <w:rFonts w:ascii="Times New Roman" w:hAnsi="Times New Roman" w:cs="Times New Roman"/>
          <w:i/>
          <w:iCs/>
          <w:sz w:val="28"/>
          <w:szCs w:val="28"/>
        </w:rPr>
        <w:t>Эмиль Дюркгейм</w:t>
      </w:r>
      <w:r w:rsidRPr="00CA3AAE">
        <w:rPr>
          <w:rFonts w:ascii="Times New Roman" w:hAnsi="Times New Roman" w:cs="Times New Roman"/>
          <w:sz w:val="28"/>
          <w:szCs w:val="28"/>
        </w:rPr>
        <w:t xml:space="preserve">), а также таких близких и довольно часто употребляемых понятий, как социальное согласие, социальная сплоченность [10, С. 11–13]. Проблемы согласования интересов социальных групп были центральными в публикациях и практической деятельности </w:t>
      </w:r>
      <w:r w:rsidRPr="00CA3AAE">
        <w:rPr>
          <w:rFonts w:ascii="Times New Roman" w:hAnsi="Times New Roman" w:cs="Times New Roman"/>
          <w:i/>
          <w:iCs/>
          <w:sz w:val="28"/>
          <w:szCs w:val="28"/>
        </w:rPr>
        <w:t>Шарля Фурье (1772–1837), Анри Сен-Симона (1760-1825), Роберта Оуэна (1771–1858)</w:t>
      </w:r>
      <w:r w:rsidRPr="00CA3AAE">
        <w:rPr>
          <w:rFonts w:ascii="Times New Roman" w:hAnsi="Times New Roman" w:cs="Times New Roman"/>
          <w:sz w:val="28"/>
          <w:szCs w:val="28"/>
        </w:rPr>
        <w:t xml:space="preserve">. Их идеи охватывают важнейшие сферы жизни общества: производство, обмен, распределение, воспитание, обучение, быт и др. В частности, Ш. Фурье предлагал делить чистый доход между капиталом, талантом и трудом в пропорции: 4/12; 3/12; 5/12. Работы Фурье, Сен-Симона, Оуэна оказали существенное влияние на многих экономистов, в том числе одного из крупнейших идеологов XIX в. – Джона Стюарта Милля, считавшего достоинством предложений Фурье обеспечение конструктивного сотрудничества труда и капитала. </w:t>
      </w:r>
      <w:r w:rsidRPr="00CA3AAE">
        <w:rPr>
          <w:rFonts w:ascii="Times New Roman" w:hAnsi="Times New Roman" w:cs="Times New Roman"/>
          <w:i/>
          <w:iCs/>
          <w:sz w:val="28"/>
          <w:szCs w:val="28"/>
        </w:rPr>
        <w:t xml:space="preserve">Д. С. Милль (1806-1873) </w:t>
      </w:r>
      <w:r w:rsidRPr="00CA3AAE">
        <w:rPr>
          <w:rFonts w:ascii="Times New Roman" w:hAnsi="Times New Roman" w:cs="Times New Roman"/>
          <w:sz w:val="28"/>
          <w:szCs w:val="28"/>
        </w:rPr>
        <w:t xml:space="preserve">был, по-видимому, одним из первых, кто использовал термин «партнерство» для социальных отношений. По этому поводу он писал: «отношения... между хозяйками и работниками будут постепенно вытеснены отношениями партнерства в одной из двух форм; в некоторых </w:t>
      </w:r>
      <w:r w:rsidRPr="00CA3AAE">
        <w:rPr>
          <w:rFonts w:ascii="Times New Roman" w:hAnsi="Times New Roman" w:cs="Times New Roman"/>
          <w:sz w:val="28"/>
          <w:szCs w:val="28"/>
        </w:rPr>
        <w:lastRenderedPageBreak/>
        <w:t xml:space="preserve">случаях произойдет объединение рабочих с капиталистами, в других... объединение рабочих между собой».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Он описал уже начинающуюся практику партнерства на рынке труда. «Другой проект, нашедший много защитников среди рабочих лидеров, состоит в создании советов, в Англии получивших название «местные промышленные советы», во Франции – </w:t>
      </w:r>
      <w:r w:rsidRPr="00CA3AAE">
        <w:rPr>
          <w:rFonts w:ascii="Times New Roman" w:hAnsi="Times New Roman" w:cs="Times New Roman"/>
          <w:i/>
          <w:iCs/>
          <w:sz w:val="28"/>
          <w:szCs w:val="28"/>
        </w:rPr>
        <w:t>«</w:t>
      </w:r>
      <w:proofErr w:type="spellStart"/>
      <w:r w:rsidRPr="00CA3AAE">
        <w:rPr>
          <w:rFonts w:ascii="Times New Roman" w:hAnsi="Times New Roman" w:cs="Times New Roman"/>
          <w:i/>
          <w:iCs/>
          <w:sz w:val="28"/>
          <w:szCs w:val="28"/>
        </w:rPr>
        <w:t>conseil</w:t>
      </w:r>
      <w:proofErr w:type="spellEnd"/>
      <w:r w:rsidRPr="00CA3AAE">
        <w:rPr>
          <w:rFonts w:ascii="Times New Roman" w:hAnsi="Times New Roman" w:cs="Times New Roman"/>
          <w:i/>
          <w:iCs/>
          <w:sz w:val="28"/>
          <w:szCs w:val="28"/>
        </w:rPr>
        <w:t xml:space="preserve"> </w:t>
      </w:r>
      <w:proofErr w:type="spellStart"/>
      <w:r w:rsidRPr="00CA3AAE">
        <w:rPr>
          <w:rFonts w:ascii="Times New Roman" w:hAnsi="Times New Roman" w:cs="Times New Roman"/>
          <w:i/>
          <w:iCs/>
          <w:sz w:val="28"/>
          <w:szCs w:val="28"/>
        </w:rPr>
        <w:t>des</w:t>
      </w:r>
      <w:proofErr w:type="spellEnd"/>
      <w:r w:rsidRPr="00CA3AAE">
        <w:rPr>
          <w:rFonts w:ascii="Times New Roman" w:hAnsi="Times New Roman" w:cs="Times New Roman"/>
          <w:i/>
          <w:iCs/>
          <w:sz w:val="28"/>
          <w:szCs w:val="28"/>
        </w:rPr>
        <w:t xml:space="preserve"> </w:t>
      </w:r>
      <w:proofErr w:type="spellStart"/>
      <w:r w:rsidRPr="00CA3AAE">
        <w:rPr>
          <w:rFonts w:ascii="Times New Roman" w:hAnsi="Times New Roman" w:cs="Times New Roman"/>
          <w:i/>
          <w:iCs/>
          <w:sz w:val="28"/>
          <w:szCs w:val="28"/>
        </w:rPr>
        <w:t>prudkommes</w:t>
      </w:r>
      <w:proofErr w:type="spellEnd"/>
      <w:r w:rsidRPr="00CA3AAE">
        <w:rPr>
          <w:rFonts w:ascii="Times New Roman" w:hAnsi="Times New Roman" w:cs="Times New Roman"/>
          <w:i/>
          <w:iCs/>
          <w:sz w:val="28"/>
          <w:szCs w:val="28"/>
        </w:rPr>
        <w:t xml:space="preserve">» </w:t>
      </w:r>
      <w:r w:rsidRPr="00CA3AAE">
        <w:rPr>
          <w:rFonts w:ascii="Times New Roman" w:hAnsi="Times New Roman" w:cs="Times New Roman"/>
          <w:sz w:val="28"/>
          <w:szCs w:val="28"/>
        </w:rPr>
        <w:t xml:space="preserve">(«посреднические советы») и др. В такие советы входили бы делегаты от рабочих и предпринимателей, которые, собравшись на конференцию, договаривались бы относительно нормы заработной платы и с помощью правительственной власти провозглашали бы эту норму обязательной как для предпринимателей, так и для рабочих Основой для 63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таких соглашений должны служить не состояние рынка рабочей силы, а естественная справедливость. Совет должен обеспечить, чтобы рабочие получали </w:t>
      </w:r>
      <w:r w:rsidRPr="00CA3AAE">
        <w:rPr>
          <w:rFonts w:ascii="Times New Roman" w:hAnsi="Times New Roman" w:cs="Times New Roman"/>
          <w:i/>
          <w:iCs/>
          <w:sz w:val="28"/>
          <w:szCs w:val="28"/>
        </w:rPr>
        <w:t xml:space="preserve">справедливую </w:t>
      </w:r>
      <w:r w:rsidRPr="00CA3AAE">
        <w:rPr>
          <w:rFonts w:ascii="Times New Roman" w:hAnsi="Times New Roman" w:cs="Times New Roman"/>
          <w:sz w:val="28"/>
          <w:szCs w:val="28"/>
        </w:rPr>
        <w:t xml:space="preserve">заработную плату, а капиталисты – справедливую прибыль» [9]. Существенное внимание уделено проблемам сотрудничества труда и капитала в работах </w:t>
      </w:r>
      <w:r w:rsidRPr="00CA3AAE">
        <w:rPr>
          <w:rFonts w:ascii="Times New Roman" w:hAnsi="Times New Roman" w:cs="Times New Roman"/>
          <w:i/>
          <w:iCs/>
          <w:sz w:val="28"/>
          <w:szCs w:val="28"/>
        </w:rPr>
        <w:t>Альфреда Маршалла (1842-1924)</w:t>
      </w:r>
      <w:r w:rsidRPr="00CA3AAE">
        <w:rPr>
          <w:rFonts w:ascii="Times New Roman" w:hAnsi="Times New Roman" w:cs="Times New Roman"/>
          <w:sz w:val="28"/>
          <w:szCs w:val="28"/>
        </w:rPr>
        <w:t xml:space="preserve">, который подчеркивал, что доходы рабочих зависят от авансирования труда капиталом. Он пишет, что «благодаря капиталу и знаниям рядовой рабочий западного мира питается, одевается и даже обеспечен жильем во многих отношениях лучше, чем принцы в прежние времена. Сотрудничество столь же обязательно, как и сотрудничество между прядильщиками и ткачами». Он критически оценивал общественные результаты конкуренции. Писал, в частности, что даже если конкуренция созидательна, она приносит меньше пользы, чем сотрудничество: «Термин «конкуренция» отдает слишком большим привкусом зла, он стал подразумевать известную долю эгоизма и безразличия к благополучию других людей» [8, С. 61]. Поскольку основной целью социального партнерства является обеспечение устойчивого эволюционного развития общества, важно определение условий, при которых такое развитие может стать возможным. Эти условия были рассмотрены еще в 20-х годах прошлого века </w:t>
      </w:r>
      <w:r w:rsidRPr="00CA3AAE">
        <w:rPr>
          <w:rFonts w:ascii="Times New Roman" w:hAnsi="Times New Roman" w:cs="Times New Roman"/>
          <w:i/>
          <w:iCs/>
          <w:sz w:val="28"/>
          <w:szCs w:val="28"/>
        </w:rPr>
        <w:t xml:space="preserve">Питиримом Сорокиным </w:t>
      </w:r>
      <w:r w:rsidRPr="00CA3AAE">
        <w:rPr>
          <w:rFonts w:ascii="Times New Roman" w:hAnsi="Times New Roman" w:cs="Times New Roman"/>
          <w:sz w:val="28"/>
          <w:szCs w:val="28"/>
        </w:rPr>
        <w:t xml:space="preserve">(1889–1968). Он установил, что устойчивость общественной системы зависит от двух основных параметров - уровня жизни большинства населения и степени дифференциации доходов. Чем ниже уровень жизни и чем больше различия между богатыми и бедными, тем популярнее призывы к свержению власти и переделу собственности с соответствующими практическими действиями. Свои выводы Сорокин П. иллюстрировал примерами из истории древнего мира и средних веков, истории церкви и новейшей истории. При этом во всех случаях оказывалось, что идеологи и вожди бедноты после захвата власти достаточно быстро меняли свои уравнительные убеждения, становились богатыми людьми и ярыми защитниками привилегий хозяев.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Существенное влияние на развитие идеи социального партнерства оказали немецкие экономисты </w:t>
      </w:r>
      <w:r w:rsidRPr="00CA3AAE">
        <w:rPr>
          <w:rFonts w:ascii="Times New Roman" w:hAnsi="Times New Roman" w:cs="Times New Roman"/>
          <w:i/>
          <w:iCs/>
          <w:sz w:val="28"/>
          <w:szCs w:val="28"/>
        </w:rPr>
        <w:t xml:space="preserve">Вильгельм Репке </w:t>
      </w:r>
      <w:r w:rsidRPr="00CA3AAE">
        <w:rPr>
          <w:rFonts w:ascii="Times New Roman" w:hAnsi="Times New Roman" w:cs="Times New Roman"/>
          <w:sz w:val="28"/>
          <w:szCs w:val="28"/>
        </w:rPr>
        <w:t xml:space="preserve">(1899–1966), </w:t>
      </w:r>
      <w:r w:rsidRPr="00CA3AAE">
        <w:rPr>
          <w:rFonts w:ascii="Times New Roman" w:hAnsi="Times New Roman" w:cs="Times New Roman"/>
          <w:i/>
          <w:iCs/>
          <w:sz w:val="28"/>
          <w:szCs w:val="28"/>
        </w:rPr>
        <w:t>Альфред Мюллер-</w:t>
      </w:r>
      <w:proofErr w:type="spellStart"/>
      <w:r w:rsidRPr="00CA3AAE">
        <w:rPr>
          <w:rFonts w:ascii="Times New Roman" w:hAnsi="Times New Roman" w:cs="Times New Roman"/>
          <w:i/>
          <w:iCs/>
          <w:sz w:val="28"/>
          <w:szCs w:val="28"/>
        </w:rPr>
        <w:t>Армак</w:t>
      </w:r>
      <w:proofErr w:type="spellEnd"/>
      <w:r w:rsidRPr="00CA3AAE">
        <w:rPr>
          <w:rFonts w:ascii="Times New Roman" w:hAnsi="Times New Roman" w:cs="Times New Roman"/>
          <w:i/>
          <w:iCs/>
          <w:sz w:val="28"/>
          <w:szCs w:val="28"/>
        </w:rPr>
        <w:t xml:space="preserve"> </w:t>
      </w:r>
      <w:r w:rsidRPr="00CA3AAE">
        <w:rPr>
          <w:rFonts w:ascii="Times New Roman" w:hAnsi="Times New Roman" w:cs="Times New Roman"/>
          <w:sz w:val="28"/>
          <w:szCs w:val="28"/>
        </w:rPr>
        <w:t xml:space="preserve">(1901–1978) и </w:t>
      </w:r>
      <w:r w:rsidRPr="00CA3AAE">
        <w:rPr>
          <w:rFonts w:ascii="Times New Roman" w:hAnsi="Times New Roman" w:cs="Times New Roman"/>
          <w:i/>
          <w:iCs/>
          <w:sz w:val="28"/>
          <w:szCs w:val="28"/>
        </w:rPr>
        <w:t xml:space="preserve">Людвиг </w:t>
      </w:r>
      <w:proofErr w:type="spellStart"/>
      <w:r w:rsidRPr="00CA3AAE">
        <w:rPr>
          <w:rFonts w:ascii="Times New Roman" w:hAnsi="Times New Roman" w:cs="Times New Roman"/>
          <w:i/>
          <w:iCs/>
          <w:sz w:val="28"/>
          <w:szCs w:val="28"/>
        </w:rPr>
        <w:t>Эрхард</w:t>
      </w:r>
      <w:proofErr w:type="spellEnd"/>
      <w:r w:rsidRPr="00CA3AAE">
        <w:rPr>
          <w:rFonts w:ascii="Times New Roman" w:hAnsi="Times New Roman" w:cs="Times New Roman"/>
          <w:i/>
          <w:iCs/>
          <w:sz w:val="28"/>
          <w:szCs w:val="28"/>
        </w:rPr>
        <w:t xml:space="preserve"> </w:t>
      </w:r>
      <w:r w:rsidRPr="00CA3AAE">
        <w:rPr>
          <w:rFonts w:ascii="Times New Roman" w:hAnsi="Times New Roman" w:cs="Times New Roman"/>
          <w:sz w:val="28"/>
          <w:szCs w:val="28"/>
        </w:rPr>
        <w:t xml:space="preserve">(1897–1977)1. Эти авторы создали концепцию социального рыночного хозяйства, которая исходит из сочетания конкуренции, экономической свободы предпринимателей и активной роли государства в перераспределении доходов и организации социальной сферы. Теоретические аспекты социального рыночного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1 Напр., [15]. 64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хозяйства обусловлены классической проблемой установления функций государства в условиях экономики, управляемой «невидимой рукой» рынка. Эта проблема </w:t>
      </w:r>
      <w:r w:rsidRPr="00CA3AAE">
        <w:rPr>
          <w:rFonts w:ascii="Times New Roman" w:hAnsi="Times New Roman" w:cs="Times New Roman"/>
          <w:sz w:val="28"/>
          <w:szCs w:val="28"/>
        </w:rPr>
        <w:lastRenderedPageBreak/>
        <w:t xml:space="preserve">обсуждалась еще А. Смитом, который доказал, что государство должно заниматься в основном поддержанием общественного порядка и защиты страны. 4.2 Сущность и формы социального партнерства Практика социального партнерства (СП) возникла и сформировалась на рынке труда. Положительно зарекомендовав себя при регулировании трудовых отношений в качестве одного из инструментов развитого общества смешанной социальной экономики (например, в Швеции), СП естественным образом обратило на себя внимание со стороны ученых и политиков, желающих создать эффективный механизм регулирования широких общественных отношений. Поэтому современными исследователями выделяются два варианта СП – тред-юнионистский (в сфере труда) и межсекторный (регулирует широкие социальные отношения) [16]. При первом подходе </w:t>
      </w:r>
      <w:r w:rsidRPr="00CA3AAE">
        <w:rPr>
          <w:rFonts w:ascii="Times New Roman" w:hAnsi="Times New Roman" w:cs="Times New Roman"/>
          <w:i/>
          <w:iCs/>
          <w:sz w:val="28"/>
          <w:szCs w:val="28"/>
        </w:rPr>
        <w:t xml:space="preserve">социальное партнерство </w:t>
      </w:r>
      <w:r w:rsidRPr="00CA3AAE">
        <w:rPr>
          <w:rFonts w:ascii="Times New Roman" w:hAnsi="Times New Roman" w:cs="Times New Roman"/>
          <w:sz w:val="28"/>
          <w:szCs w:val="28"/>
        </w:rPr>
        <w:t>– это цивилизованная система общественных отношений в социально-трудовой сфере, строящаяся на согласовании и защите интересов работников, предпринимателей, органов государственной власти и местного самоуправления на основе договоров, соглашений, достижения компромисса, консенсуса по актуальным проблемам экономической и социально-политической жизни общества [10, С. 7]. Основы СП были разработаны Международной организацией труда (МОТ), созданной в 1919 г. Деятельность МОТ базируется на принципах «классового мира». Авторитет и огромный опыт МОТ в сглаживании социально-трудовых конфликтов во многом способствовали тому, что в развитых странах Запада в последнее время не наблюдается массового забастовочного движения. Сама структура МОТ была воплощением «</w:t>
      </w:r>
      <w:proofErr w:type="spellStart"/>
      <w:r w:rsidRPr="00CA3AAE">
        <w:rPr>
          <w:rFonts w:ascii="Times New Roman" w:hAnsi="Times New Roman" w:cs="Times New Roman"/>
          <w:sz w:val="28"/>
          <w:szCs w:val="28"/>
        </w:rPr>
        <w:t>трипартизма</w:t>
      </w:r>
      <w:proofErr w:type="spellEnd"/>
      <w:r w:rsidRPr="00CA3AAE">
        <w:rPr>
          <w:rFonts w:ascii="Times New Roman" w:hAnsi="Times New Roman" w:cs="Times New Roman"/>
          <w:sz w:val="28"/>
          <w:szCs w:val="28"/>
        </w:rPr>
        <w:t xml:space="preserve">», поскольку все его главные и вспомогательные органы формируются на основе трехстороннего представительства: правительств, предпринимателей и работников. Так, высший орган МОТ Международное бюро труда состоит из представителей государств – членов МОТ – от правительства, предпринимателей и работников. По аналогии формируются административный совет МОТ и Международный Совет труда [5, с.10]. МОТ выработала около 180 конвенций по самым различным сторонам трудовой и социальной жизни.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Стратегической целью </w:t>
      </w:r>
      <w:r w:rsidRPr="00CA3AAE">
        <w:rPr>
          <w:rFonts w:ascii="Times New Roman" w:hAnsi="Times New Roman" w:cs="Times New Roman"/>
          <w:sz w:val="28"/>
          <w:szCs w:val="28"/>
        </w:rPr>
        <w:t xml:space="preserve">СП является сохранение стабильности производственных отношений рыночной экономики через специфические 65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механизмы перераспределения части доходов между участниками производства [12, с.13]. За этот период четко обозначились </w:t>
      </w:r>
      <w:r w:rsidRPr="00CA3AAE">
        <w:rPr>
          <w:rFonts w:ascii="Times New Roman" w:hAnsi="Times New Roman" w:cs="Times New Roman"/>
          <w:i/>
          <w:iCs/>
          <w:sz w:val="28"/>
          <w:szCs w:val="28"/>
        </w:rPr>
        <w:t xml:space="preserve">основные задачи СП в сфере труда: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повышение производительности труда через усиление мотивации к труду;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сохранение экономической стабильности через долгосрочное планирование;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сохранение социальной стабильности через гарантию трудовых доходов;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создание условий для расширенного воспроизводства рабочей силы [12, С. 11–12].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СП позволяет бороться с чрезмерной эксплуатацией. При монополизации конкуренция не может обеспечить распределение факторных доходов в соответствии с вкладом каждого из факторов в создание стоимости нового продукта. Поэтому требуется субъективное вмешательство со стороны государства и других участников рынка. Поэтому </w:t>
      </w:r>
      <w:r w:rsidRPr="00CA3AAE">
        <w:rPr>
          <w:rFonts w:ascii="Times New Roman" w:hAnsi="Times New Roman" w:cs="Times New Roman"/>
          <w:i/>
          <w:iCs/>
          <w:sz w:val="28"/>
          <w:szCs w:val="28"/>
        </w:rPr>
        <w:t xml:space="preserve">с этической точки зрения одной из задач </w:t>
      </w:r>
      <w:r w:rsidRPr="00CA3AAE">
        <w:rPr>
          <w:rFonts w:ascii="Times New Roman" w:hAnsi="Times New Roman" w:cs="Times New Roman"/>
          <w:sz w:val="28"/>
          <w:szCs w:val="28"/>
        </w:rPr>
        <w:t xml:space="preserve">СП является обеспечение социальной справедливости в условиях развитой смешанной экономики. Социальная справедливость в экономической теории понимается как проблема приемлемой степени неравенства в распределении доходов. В соответствии с практически </w:t>
      </w:r>
      <w:r w:rsidRPr="00CA3AAE">
        <w:rPr>
          <w:rFonts w:ascii="Times New Roman" w:hAnsi="Times New Roman" w:cs="Times New Roman"/>
          <w:sz w:val="28"/>
          <w:szCs w:val="28"/>
        </w:rPr>
        <w:lastRenderedPageBreak/>
        <w:t xml:space="preserve">сложившимися целями СП МОТ выработала </w:t>
      </w:r>
      <w:r w:rsidRPr="00CA3AAE">
        <w:rPr>
          <w:rFonts w:ascii="Times New Roman" w:hAnsi="Times New Roman" w:cs="Times New Roman"/>
          <w:i/>
          <w:iCs/>
          <w:sz w:val="28"/>
          <w:szCs w:val="28"/>
        </w:rPr>
        <w:t xml:space="preserve">основные философские принципы </w:t>
      </w:r>
      <w:r w:rsidRPr="00CA3AAE">
        <w:rPr>
          <w:rFonts w:ascii="Times New Roman" w:hAnsi="Times New Roman" w:cs="Times New Roman"/>
          <w:sz w:val="28"/>
          <w:szCs w:val="28"/>
        </w:rPr>
        <w:t xml:space="preserve">СП: 1. Не предоставление в какой-либо стране работникам человеческих условий труда является препятствием для других стран, желающих улучшить положение трудящихся. 2. Свобода слова и объединения являются необходимыми условиями постоянного прогресса. 3. Нищета в любом месте является угрозой всеобщему благосостоянию. 4. Все люди независимо от расы, веры и пола имеют право на материальное благосостояние и духовное развитие в условиях свободы и достоинства, устойчивости в экономике и равных возможностей. 5. Полная занятость и повышение жизненного уровня. 6. Труд не является товаром (с нравственной и социальной точки зрения). 7. Свобода и добровольность создания и выбора организаций, форм ведения переговоров работниками и работодателями. Из практики СП вытекают следующие </w:t>
      </w:r>
      <w:r w:rsidRPr="00CA3AAE">
        <w:rPr>
          <w:rFonts w:ascii="Times New Roman" w:hAnsi="Times New Roman" w:cs="Times New Roman"/>
          <w:i/>
          <w:iCs/>
          <w:sz w:val="28"/>
          <w:szCs w:val="28"/>
        </w:rPr>
        <w:t xml:space="preserve">организационные принципы </w:t>
      </w:r>
      <w:r w:rsidRPr="00CA3AAE">
        <w:rPr>
          <w:rFonts w:ascii="Times New Roman" w:hAnsi="Times New Roman" w:cs="Times New Roman"/>
          <w:sz w:val="28"/>
          <w:szCs w:val="28"/>
        </w:rPr>
        <w:t xml:space="preserve">социального партнерства [12, С. 187]: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юридическое равенство сторон в трудовых отношениях;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66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равная представительность сторон на переговорах;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взаимная ответственность сторон через договор;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ненасилие, решение спорных вопросов путем переговоров;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система пирамиды в построении СП.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Конечной целью </w:t>
      </w:r>
      <w:r w:rsidRPr="00CA3AAE">
        <w:rPr>
          <w:rFonts w:ascii="Times New Roman" w:hAnsi="Times New Roman" w:cs="Times New Roman"/>
          <w:sz w:val="28"/>
          <w:szCs w:val="28"/>
        </w:rPr>
        <w:t xml:space="preserve">СП в рыночном обществе является сохранение существующих форм собственности на основные факторы общественного производства и прежде всего связанных с ними прав на извлечение факторных доходов. СП призвано предотвратить чрезмерную деформацию и разрушение институциональных отношений развитого рыночного общества на этапе перехода от индустриального способа производства к постиндустриальному. СП призвано не допустить чрезмерного отклонения системы институциональных отношений от равновесия в результате монополизации любой из сторон производственных отношений, так как это может вызвать ответную негативную реакцию остальных участников, подвергшихся эксплуатации. Негативная реакция в виде производственных (забастовки, локауты) и социальных (революции и т. п.) волнений может обернуться гибелью системы. Основные принципы системы СП имеют возможность пережить существующие общественные отношения рыночного общества индустриальной эпохи и встроиться в будущие общественные отношения постиндустриального общества, поскольку они несут в себе «избыточность», обусловленную обязательным участием общественности и договорным характером отношений. Впервые концепция межсекторного социального партнерства в России была очерчена коллективом исполнителей проекта «Социальное партнерство», выполненного в Томске и Иркутске в 1994–1995 гг. </w:t>
      </w:r>
      <w:r w:rsidRPr="00CA3AAE">
        <w:rPr>
          <w:rFonts w:ascii="Times New Roman" w:hAnsi="Times New Roman" w:cs="Times New Roman"/>
          <w:i/>
          <w:iCs/>
          <w:sz w:val="28"/>
          <w:szCs w:val="28"/>
        </w:rPr>
        <w:t xml:space="preserve">Межсекторное социальное партнерство </w:t>
      </w:r>
      <w:r w:rsidRPr="00CA3AAE">
        <w:rPr>
          <w:rFonts w:ascii="Times New Roman" w:hAnsi="Times New Roman" w:cs="Times New Roman"/>
          <w:sz w:val="28"/>
          <w:szCs w:val="28"/>
        </w:rPr>
        <w:t xml:space="preserve">– это конструктивное взаимодействие организаций из двух или трех секторов (государство, бизнес, НКО) при решении социальных проблем, обеспечивающее синергетический эффект от «сложения» разных ресурсов и «выгодное» каждой из сторон и населению [12, С. 129]. Механизм взаимодействия НКО – бизнес - власть – это разработанная сообща совокупность правил, способов, технологий и документации по организации, обеспечению ресурсами и реализации совместных работ (проектов, акций), которая встроена в схему функционирования </w:t>
      </w:r>
      <w:r w:rsidRPr="00CA3AAE">
        <w:rPr>
          <w:rFonts w:ascii="Times New Roman" w:hAnsi="Times New Roman" w:cs="Times New Roman"/>
          <w:sz w:val="28"/>
          <w:szCs w:val="28"/>
        </w:rPr>
        <w:lastRenderedPageBreak/>
        <w:t xml:space="preserve">социальной сферы на данной территории, направлена на решение социально-значимой проблемы с учетом действующих нормативных и правовых актов и воспроизводима в будущем без участия создателей.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На практике в России выработалось </w:t>
      </w:r>
      <w:r w:rsidRPr="00CA3AAE">
        <w:rPr>
          <w:rFonts w:ascii="Times New Roman" w:hAnsi="Times New Roman" w:cs="Times New Roman"/>
          <w:i/>
          <w:iCs/>
          <w:sz w:val="28"/>
          <w:szCs w:val="28"/>
        </w:rPr>
        <w:t>пять групп инновационных механизмов: конкурсные, социально-технологические, организационно-</w:t>
      </w:r>
      <w:r w:rsidRPr="00CA3AAE">
        <w:rPr>
          <w:rFonts w:ascii="Times New Roman" w:hAnsi="Times New Roman" w:cs="Times New Roman"/>
          <w:sz w:val="28"/>
          <w:szCs w:val="28"/>
        </w:rPr>
        <w:t xml:space="preserve">67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структурные, процедурные, комплексные или комбинированные. </w:t>
      </w:r>
      <w:r w:rsidRPr="00CA3AAE">
        <w:rPr>
          <w:rFonts w:ascii="Times New Roman" w:hAnsi="Times New Roman" w:cs="Times New Roman"/>
          <w:sz w:val="28"/>
          <w:szCs w:val="28"/>
        </w:rPr>
        <w:t xml:space="preserve">К конкурсным относятся механизмы социального заказа уровня субъекта РФ, муниципального заказа, муниципального гранта, гранта субъекта РФ, тендера, конкурса социальных проектов, конкурсов для гражданских инициатив и НКО по различным номинациям, конкурса авторских вариативных программ, конкурса проектов на соискание грантов Президента РФ в области культуры и искусства, конкурса на получение кредита и др. К социально-технологическим относятся механизмы, когда взаимодействие базируется на социальной технологии (ноу-хау), созданной НКО заново или освоенной в России на основе изучения позитивного зарубежного опыта и выгодно отличающейся по эффективности использования средств и качеству результатов от иных технологий, применявшихся госструктурами. Сюда попадают хосписы, приемные семьи, экологические экспертизы и гражданские действия по защите окружающей среды в форме судебных исков, специальные модели социализации детей-инвалидов, умственно отсталых детей, новые подходы к психологической реабилитации алкоголиков и наркоманов и к созданию оздоровительных программ, концепция реабилитационного пространства для несовершеннолетних группы риска, система </w:t>
      </w:r>
      <w:proofErr w:type="spellStart"/>
      <w:r w:rsidRPr="00CA3AAE">
        <w:rPr>
          <w:rFonts w:ascii="Times New Roman" w:hAnsi="Times New Roman" w:cs="Times New Roman"/>
          <w:sz w:val="28"/>
          <w:szCs w:val="28"/>
        </w:rPr>
        <w:t>гериартрической</w:t>
      </w:r>
      <w:proofErr w:type="spellEnd"/>
      <w:r w:rsidRPr="00CA3AAE">
        <w:rPr>
          <w:rFonts w:ascii="Times New Roman" w:hAnsi="Times New Roman" w:cs="Times New Roman"/>
          <w:sz w:val="28"/>
          <w:szCs w:val="28"/>
        </w:rPr>
        <w:t xml:space="preserve"> реабилитации на дому, программа общественного развития муниципальных образований в малых городах и многое другое. Организационно-структурные механизмы характеризуются тем, что власть совместно с гражданскими объединениями, действующими на той же территории, образует новую организационную структуру, которой делегируется часть функций по решению совокупности социально-значимых задач через вовлечение граждан и общественных объединений при финансовой поддержке со стороны власти. Примером является созданный в Москве центр «Социальное партнерство». Для решения проблем детской безнадзорности в Москве был создан Центр «Дети улицы». В Челябинске было образовано муниципальное учреждение Центр общественных объединений, а в Челябинской области был создан Областной центр социального партнерства.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Процедурные механизмы взаимодействия включают такие, которыми определяются правила сотрудничества НКО и власти при решении (как правило, разовом) определенного класса задач (без организации конкурсов, без создания новых </w:t>
      </w:r>
      <w:proofErr w:type="spellStart"/>
      <w:r w:rsidRPr="00CA3AAE">
        <w:rPr>
          <w:rFonts w:ascii="Times New Roman" w:hAnsi="Times New Roman" w:cs="Times New Roman"/>
          <w:sz w:val="28"/>
          <w:szCs w:val="28"/>
        </w:rPr>
        <w:t>оргструктур</w:t>
      </w:r>
      <w:proofErr w:type="spellEnd"/>
      <w:r w:rsidRPr="00CA3AAE">
        <w:rPr>
          <w:rFonts w:ascii="Times New Roman" w:hAnsi="Times New Roman" w:cs="Times New Roman"/>
          <w:sz w:val="28"/>
          <w:szCs w:val="28"/>
        </w:rPr>
        <w:t xml:space="preserve"> в форме юридических лиц и без опоры на какие-либо новые технологии). Такие процедуры формируются в ходе совместного обсуждения и чаще всего оформляются в виде специального соглашения, действующего в течение фиксированного периода. Примером таких процедур являются 68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определенные правила и процедуры, оформленные в соответствующих законах и постановлениях. К ним относятся также различного рода Общественные палаты, общественные комитеты, форумы граждан, круглые столы, координационные советы, соглашения, общественные парламенты, губернские собрания общественности, палаты социального бизнеса, общественные советы и др. В новейшей истории России к этой группе относятся и общественные слушания, в том числе и парламентские. </w:t>
      </w:r>
      <w:r w:rsidRPr="00CA3AAE">
        <w:rPr>
          <w:rFonts w:ascii="Times New Roman" w:hAnsi="Times New Roman" w:cs="Times New Roman"/>
          <w:sz w:val="28"/>
          <w:szCs w:val="28"/>
        </w:rPr>
        <w:lastRenderedPageBreak/>
        <w:t xml:space="preserve">Комплексные или комбинированные механизмы – это такие системы взаимодействия, которые несут в себе черты, как минимум, любой пары из вышеназванных механизмов. Например, это фонды развития местного сообщества (объединяют черты конкурсных, технологических и </w:t>
      </w:r>
      <w:proofErr w:type="spellStart"/>
      <w:r w:rsidRPr="00CA3AAE">
        <w:rPr>
          <w:rFonts w:ascii="Times New Roman" w:hAnsi="Times New Roman" w:cs="Times New Roman"/>
          <w:sz w:val="28"/>
          <w:szCs w:val="28"/>
        </w:rPr>
        <w:t>оргструктурных</w:t>
      </w:r>
      <w:proofErr w:type="spellEnd"/>
      <w:r w:rsidRPr="00CA3AAE">
        <w:rPr>
          <w:rFonts w:ascii="Times New Roman" w:hAnsi="Times New Roman" w:cs="Times New Roman"/>
          <w:sz w:val="28"/>
          <w:szCs w:val="28"/>
        </w:rPr>
        <w:t xml:space="preserve"> механизмов), фонды развития местного сообщества на базе общественно-активных школ, ярмарки НКО, ярмарки социальных проектов и услуг и т.п. Серьезным вкладом в развитие некоммерческого сектора в России стало принятие Федерального закона от 05.04.2010 N 40-ФЗ «О внесении изменений в отдельные законодательные акты Российской Федерации по вопросу поддержки социально ориентированных некоммерческих организаций». Во исполнение этого закона Правительство РФ приняло Постановление о предоставлении поддержки социально ориентированным некоммерческим организациям на 2011-2013 года. Органам исполнительной власти субъектов РФ рекомендовано: утвердить программы поддержки СО НКО, включая мероприятия по повышению квалификации работников СО НКО, а также государственных служащих субъектов РФ и муниципальных служащих по вопросам поддержки деятельности СО НКО. Критериями конкурсного отбора субъектов РФ, бюджетам которых предоставляются субсидии, являются: а) доля расходов, направляемых на предоставление субсидий СО НКО, в общем объеме расходов бюджета субъекта РФ в отчетном году; б) прирост количества НКО на территории субъекта РФ за предшествующий год; в) прирост средней численности работников (без внешних совместителей) НКО за предыдущий отчетный период; г) прирост объема услуг (выполненных работ), оказанных на территории субъекта РФ НКО в общем объеме валового регионального продукта за предыдущий отчетный период; д) прирост средней численности добровольцев, привлекаемых НКО за предыдущий отчетный период; е) количество зарегистрированных на территории субъекта РФ специализированных некоммерческих организаций; 69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ж) объем доходов от управления целевым капиталом некоммерческих организаций на территории субъекта РФ, направленным на уставную деятельность; з) принятие и реализация субъектом РФ нормативных правовых актов, либо плана по их разработке и принятию в течении отчетного периода, предусматривающих: реализацию механизмов распределения бюджетного финансирования оказания социальных услуг на конкурсной основе, через предоставление бюджетных субсидий, либо реализацию механизмов закупок работ (услуг) для государственных и муниципальных нужд; предоставление СО НКО и организациям, предоставляющим им благотворительные пожертвования, налоговых льгот; предоставление СО НКО имущественной поддержки в виде предоставления недвижимого имущества в аренду на льготных условиях; обеспечение информационной поддержки деятельности СО НКО в средствах массовой информации, а также посредством социальной рекламы; формирование попечительских (общественных, наблюдательных) советов государственных и муниципальных учреждений социальной сферы, с обеспечением привлечения участия в их работе заинтересованных СО НКО; проведение общественной экспертизы (экспертизы) проектов законов субъектов РФ, а также проектов нормативных правовых актов органов исполнительной власти субъектов и местного самоуправления по направлениям видов деятельности СО НКО. Субсидии регионам предоставляются на следующих условиях: а) наличие у субъекта РФ программы поддержки; б) наличие </w:t>
      </w:r>
      <w:r w:rsidRPr="00CA3AAE">
        <w:rPr>
          <w:rFonts w:ascii="Times New Roman" w:hAnsi="Times New Roman" w:cs="Times New Roman"/>
          <w:sz w:val="28"/>
          <w:szCs w:val="28"/>
        </w:rPr>
        <w:lastRenderedPageBreak/>
        <w:t xml:space="preserve">в бюджете субъекта РФ бюджетных ассигнований на </w:t>
      </w:r>
      <w:proofErr w:type="spellStart"/>
      <w:r w:rsidRPr="00CA3AAE">
        <w:rPr>
          <w:rFonts w:ascii="Times New Roman" w:hAnsi="Times New Roman" w:cs="Times New Roman"/>
          <w:sz w:val="28"/>
          <w:szCs w:val="28"/>
        </w:rPr>
        <w:t>софинансирование</w:t>
      </w:r>
      <w:proofErr w:type="spellEnd"/>
      <w:r w:rsidRPr="00CA3AAE">
        <w:rPr>
          <w:rFonts w:ascii="Times New Roman" w:hAnsi="Times New Roman" w:cs="Times New Roman"/>
          <w:sz w:val="28"/>
          <w:szCs w:val="28"/>
        </w:rPr>
        <w:t xml:space="preserve"> мероприятий; в) определение уполномоченного органа исполнительной власти субъекта РФ по поддержке СО НКО для осуществления взаимодействия с Министерством экономического развития РФ; г) наличие утвержденного субъектом РФ порядка предоставления на конкурсной основе субсидий СО НКО включающего требования к </w:t>
      </w:r>
      <w:proofErr w:type="spellStart"/>
      <w:r w:rsidRPr="00CA3AAE">
        <w:rPr>
          <w:rFonts w:ascii="Times New Roman" w:hAnsi="Times New Roman" w:cs="Times New Roman"/>
          <w:sz w:val="28"/>
          <w:szCs w:val="28"/>
        </w:rPr>
        <w:t>софинансированию</w:t>
      </w:r>
      <w:proofErr w:type="spellEnd"/>
      <w:r w:rsidRPr="00CA3AAE">
        <w:rPr>
          <w:rFonts w:ascii="Times New Roman" w:hAnsi="Times New Roman" w:cs="Times New Roman"/>
          <w:sz w:val="28"/>
          <w:szCs w:val="28"/>
        </w:rPr>
        <w:t xml:space="preserve"> из внебюджетных источников мероприятий, реализуемых СО НКО; д) прохождение субъектом РФ конкурсного отбора; е) обязательство субъектов РФ по обеспечению соответствия значений показателей, устанавливаемых региональными программами, иными нормативными правовыми актами субъектов РФ, значениям показателей результативности предоставления субсидий, установленным соглашениями между Министерством экономического развития РФ и высшими исполнительными органами государственной власти субъектов РФ о предоставлении субсидий [17]. Связь между двумя вариантами СП – тред-юнионистским и межсекторным – можно рассматривать теоретически, связывая их в более обширную «</w:t>
      </w:r>
      <w:r w:rsidRPr="00CA3AAE">
        <w:rPr>
          <w:rFonts w:ascii="Times New Roman" w:hAnsi="Times New Roman" w:cs="Times New Roman"/>
          <w:i/>
          <w:iCs/>
          <w:sz w:val="28"/>
          <w:szCs w:val="28"/>
        </w:rPr>
        <w:t>общую систему СП</w:t>
      </w:r>
      <w:r w:rsidRPr="00CA3AAE">
        <w:rPr>
          <w:rFonts w:ascii="Times New Roman" w:hAnsi="Times New Roman" w:cs="Times New Roman"/>
          <w:sz w:val="28"/>
          <w:szCs w:val="28"/>
        </w:rPr>
        <w:t xml:space="preserve">». 70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Современный некоммерческий сектор выполняет в данной системе взаимодействия важнейшую задачу – балансирует интересы частного, корпоративного и общественного (государственного и национального) характера, которые имеют по преимуществу экономическую природу. Некоммерческий сектор объективно начинает участвовать в межсекторных обменных процессах, являющихся результатом агрегирования индивидуальных, групповых или совокупных экономических действий, выражающих соответствующие уровни экономических интересов. 4.3 Практика тред-юнионистского социального партнерства за рубежом </w:t>
      </w:r>
      <w:proofErr w:type="gramStart"/>
      <w:r w:rsidRPr="00CA3AAE">
        <w:rPr>
          <w:rFonts w:ascii="Times New Roman" w:hAnsi="Times New Roman" w:cs="Times New Roman"/>
          <w:sz w:val="28"/>
          <w:szCs w:val="28"/>
        </w:rPr>
        <w:t>Существуют</w:t>
      </w:r>
      <w:proofErr w:type="gramEnd"/>
      <w:r w:rsidRPr="00CA3AAE">
        <w:rPr>
          <w:rFonts w:ascii="Times New Roman" w:hAnsi="Times New Roman" w:cs="Times New Roman"/>
          <w:sz w:val="28"/>
          <w:szCs w:val="28"/>
        </w:rPr>
        <w:t xml:space="preserve"> различные формы участия в социальном партнерстве на рынке труда. Самая развитая форма – </w:t>
      </w:r>
      <w:proofErr w:type="spellStart"/>
      <w:r w:rsidRPr="00CA3AAE">
        <w:rPr>
          <w:rFonts w:ascii="Times New Roman" w:hAnsi="Times New Roman" w:cs="Times New Roman"/>
          <w:i/>
          <w:iCs/>
          <w:sz w:val="28"/>
          <w:szCs w:val="28"/>
        </w:rPr>
        <w:t>трипартизм</w:t>
      </w:r>
      <w:proofErr w:type="spellEnd"/>
      <w:r w:rsidRPr="00CA3AAE">
        <w:rPr>
          <w:rFonts w:ascii="Times New Roman" w:hAnsi="Times New Roman" w:cs="Times New Roman"/>
          <w:sz w:val="28"/>
          <w:szCs w:val="28"/>
        </w:rPr>
        <w:t xml:space="preserve">, или трехстороннее сотрудничество между наемными работниками, предпринимателями и государством. Наряду с ним практикуется участие трудящихся в управлении производством, участие в прибылях, участие в инновационных процессах (рационализаторская деятельность) и т.п. Рассматривая типичные национальные модели </w:t>
      </w:r>
      <w:proofErr w:type="spellStart"/>
      <w:r w:rsidRPr="00CA3AAE">
        <w:rPr>
          <w:rFonts w:ascii="Times New Roman" w:hAnsi="Times New Roman" w:cs="Times New Roman"/>
          <w:sz w:val="28"/>
          <w:szCs w:val="28"/>
        </w:rPr>
        <w:t>трипартизма</w:t>
      </w:r>
      <w:proofErr w:type="spellEnd"/>
      <w:r w:rsidRPr="00CA3AAE">
        <w:rPr>
          <w:rFonts w:ascii="Times New Roman" w:hAnsi="Times New Roman" w:cs="Times New Roman"/>
          <w:sz w:val="28"/>
          <w:szCs w:val="28"/>
        </w:rPr>
        <w:t xml:space="preserve">, отметим, что в зависимости от уровня ведения коллективных переговоров для заключения договоров и соглашений сложились три основных модели социального партнерства. </w:t>
      </w:r>
      <w:r w:rsidRPr="00CA3AAE">
        <w:rPr>
          <w:rFonts w:ascii="Times New Roman" w:hAnsi="Times New Roman" w:cs="Times New Roman"/>
          <w:i/>
          <w:iCs/>
          <w:sz w:val="28"/>
          <w:szCs w:val="28"/>
        </w:rPr>
        <w:t xml:space="preserve">Первая модель, </w:t>
      </w:r>
      <w:r w:rsidRPr="00CA3AAE">
        <w:rPr>
          <w:rFonts w:ascii="Times New Roman" w:hAnsi="Times New Roman" w:cs="Times New Roman"/>
          <w:sz w:val="28"/>
          <w:szCs w:val="28"/>
        </w:rPr>
        <w:t xml:space="preserve">характерная для стран Северной Европы (Финляндия, Швеция, Бельгия, Норвегия, Нидерланды), предполагает активное вмешательство государства в регулирование трудовых отношений и имеет три уровня социального партнерства: общенациональный, отраслевой и предприятие. Например, в Бельгии на общенациональном уровне создан Национальный Совет по труду из равного числа представителей трех сторон. Он является консультативным органом правительства, имеет право вести переговоры на общенациональном уровне. На уровне отраслей существуют совместные (паритетные) комиссии, учреждаемые под контролем правительства.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Вторая модель </w:t>
      </w:r>
      <w:r w:rsidRPr="00CA3AAE">
        <w:rPr>
          <w:rFonts w:ascii="Times New Roman" w:hAnsi="Times New Roman" w:cs="Times New Roman"/>
          <w:sz w:val="28"/>
          <w:szCs w:val="28"/>
        </w:rPr>
        <w:t xml:space="preserve">социального партнерства, применяемая в основном в США, Канаде, Японии, а также в большинстве развивающихся стран Азии, Латинской Америки и англоговорящих стран Африки, характеризуется заключением коллективных договоров только на уровне предприятий. В этих странах переговоры и соглашения на региональном и отраслевом уровнях осуществляются значительно реже. Однако объединения предпринимателей и общенациональные профсоюзы достаточно активно </w:t>
      </w:r>
      <w:r w:rsidRPr="00CA3AAE">
        <w:rPr>
          <w:rFonts w:ascii="Times New Roman" w:hAnsi="Times New Roman" w:cs="Times New Roman"/>
          <w:sz w:val="28"/>
          <w:szCs w:val="28"/>
        </w:rPr>
        <w:lastRenderedPageBreak/>
        <w:t xml:space="preserve">участвуют в законодательном процессе, в формировании единой государственной политики в области трудовых 71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отношений. Официально в коллективных договорах они не участвуют, но их деятельность сосредотачивается на выработке единых подходов в партнерских отношениях. Их воздействие на переговорный процесс осуществляется через послания, официально рекомендуемые работодателям. Например, Японская Федерация Ассоциации работодателей формирует для них основные требования, которые необходимо учитывать при переговорах на уровне предприятий. В странах Северной Америки крупнейшие ассоциации предпринимателей также не вмешиваются в коллективные переговоры, но они активно участвуют в законодательной и политической деятельности. </w:t>
      </w:r>
      <w:r w:rsidRPr="00CA3AAE">
        <w:rPr>
          <w:rFonts w:ascii="Times New Roman" w:hAnsi="Times New Roman" w:cs="Times New Roman"/>
          <w:i/>
          <w:iCs/>
          <w:sz w:val="28"/>
          <w:szCs w:val="28"/>
        </w:rPr>
        <w:t xml:space="preserve">Третья модель, </w:t>
      </w:r>
      <w:r w:rsidRPr="00CA3AAE">
        <w:rPr>
          <w:rFonts w:ascii="Times New Roman" w:hAnsi="Times New Roman" w:cs="Times New Roman"/>
          <w:sz w:val="28"/>
          <w:szCs w:val="28"/>
        </w:rPr>
        <w:t xml:space="preserve">типичная для стран Центральной Европы (Германии, Австрии, Франции и др.), а также Великобритании, является как бы усредненным (промежуточным) вариантом между двумя вышеназванными. Как правило, на общенациональном уровне правительство периодически проводит консультации с национальными профсоюзными объединениями и союзами предпринимателей. На этом уровне социальные партнеры совместных решений не принимают, а ограничиваются чаще всего консультациями и реже – общенациональными соглашениями по отдельным вопросам социальной политики. Например, в Германии коллективные переговоры ведутся на отраслевом и региональном уровнях. Коллективные договоры на предприятиях не заключаются. Правда, существуют некие производственные соглашения, подписанные работодателем и советом предприятия (органом рабочего представительства) [12, С. 77–78]. При </w:t>
      </w:r>
      <w:r w:rsidRPr="00CA3AAE">
        <w:rPr>
          <w:rFonts w:ascii="Times New Roman" w:hAnsi="Times New Roman" w:cs="Times New Roman"/>
          <w:i/>
          <w:iCs/>
          <w:sz w:val="28"/>
          <w:szCs w:val="28"/>
        </w:rPr>
        <w:t>классификации типов социального партнерства по критериям политической ориентации</w:t>
      </w:r>
      <w:r w:rsidRPr="00CA3AAE">
        <w:rPr>
          <w:rFonts w:ascii="Times New Roman" w:hAnsi="Times New Roman" w:cs="Times New Roman"/>
          <w:sz w:val="28"/>
          <w:szCs w:val="28"/>
        </w:rPr>
        <w:t xml:space="preserve">, идеологической направленности на практике выделяются три модели: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консервативная английская;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социал-демократическая германская;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социалистическая французская.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Консервативная и социалистическая модели социального партнерства характеризуются как односторонне радикальные, не в полной мере учитывающие плюралистическую природу своего общества. «Германская» социал-демократическая модель представляет «золотую середину» между английской и французской; стремится к соблюдению максимального баланса интересов между трудом и капиталом, между работниками и работодателями [12, С. 86].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 характеру взаимодействия профсоюзов с институтами государственной власти и местного самоуправления можно выделить </w:t>
      </w:r>
      <w:r w:rsidRPr="00CA3AAE">
        <w:rPr>
          <w:rFonts w:ascii="Times New Roman" w:hAnsi="Times New Roman" w:cs="Times New Roman"/>
          <w:i/>
          <w:iCs/>
          <w:sz w:val="28"/>
          <w:szCs w:val="28"/>
        </w:rPr>
        <w:t xml:space="preserve">два типа профсоюзов: ориентированные на сотрудничество и нацеленные на конфликт с государством. </w:t>
      </w:r>
      <w:r w:rsidRPr="00CA3AAE">
        <w:rPr>
          <w:rFonts w:ascii="Times New Roman" w:hAnsi="Times New Roman" w:cs="Times New Roman"/>
          <w:sz w:val="28"/>
          <w:szCs w:val="28"/>
        </w:rPr>
        <w:t xml:space="preserve">К первому типу относятся профсоюзы, 72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преимущественно в странах, где рабочее движение имеет многолетний реформистский характер и конструктивные реформаторские традиции. Это наиболее характерно для Германии, Австрии, Швейцарии, Нидерландов, Швеции, Норвегии, Дании. Второй тип профсоюзов олицетворяет собой организации, систематически конфликтующие с государством, институтами государственной власти. Это профсоюзы Италии, Франции, Великобритании. Существенное значение во взаимоотношениях </w:t>
      </w:r>
      <w:r w:rsidRPr="00CA3AAE">
        <w:rPr>
          <w:rFonts w:ascii="Times New Roman" w:hAnsi="Times New Roman" w:cs="Times New Roman"/>
          <w:sz w:val="28"/>
          <w:szCs w:val="28"/>
        </w:rPr>
        <w:lastRenderedPageBreak/>
        <w:t xml:space="preserve">профсоюзов с властными структурами имеют особенности их организационного строения. Политически независимое профсоюзное движение, созданное по производственному принципу, с жесткой иерархической структурой и всевластием руководящей верхушки чаще всего нацелено на социальный конфликт. Такого рода профсоюзы обычно характеризуются как оппозиционные. Наоборот, профсоюзы, тесно взаимосвязанные с какой-либо реформаторской партией, с гибкой либерально-синдикалистской структурой, способной нейтрализовать «абсолютизм» лидеров и наиболее полно учитывать интересы работников, чаще всего склонны к сотрудничеству с властными структурами и государством в целом. В индустриальных странах активность государства, властных структур побуждают профсоюзы к постоянному диалогу с объединениями работодателей, предпринимателей и институтами </w:t>
      </w:r>
      <w:proofErr w:type="spellStart"/>
      <w:r w:rsidRPr="00CA3AAE">
        <w:rPr>
          <w:rFonts w:ascii="Times New Roman" w:hAnsi="Times New Roman" w:cs="Times New Roman"/>
          <w:sz w:val="28"/>
          <w:szCs w:val="28"/>
        </w:rPr>
        <w:t>госуправления</w:t>
      </w:r>
      <w:proofErr w:type="spellEnd"/>
      <w:r w:rsidRPr="00CA3AAE">
        <w:rPr>
          <w:rFonts w:ascii="Times New Roman" w:hAnsi="Times New Roman" w:cs="Times New Roman"/>
          <w:sz w:val="28"/>
          <w:szCs w:val="28"/>
        </w:rPr>
        <w:t xml:space="preserve">. Тем не менее, в последнее время все реже появляются оптимистические прогнозы относительно развития взаимоотношений государства и профсоюзов. В большинстве зарубежных стран государство, предпочитая курс на поддержку бизнеса и рыночных отношений, сокращает </w:t>
      </w:r>
      <w:proofErr w:type="spellStart"/>
      <w:r w:rsidRPr="00CA3AAE">
        <w:rPr>
          <w:rFonts w:ascii="Times New Roman" w:hAnsi="Times New Roman" w:cs="Times New Roman"/>
          <w:sz w:val="28"/>
          <w:szCs w:val="28"/>
        </w:rPr>
        <w:t>своѐ</w:t>
      </w:r>
      <w:proofErr w:type="spellEnd"/>
      <w:r w:rsidRPr="00CA3AAE">
        <w:rPr>
          <w:rFonts w:ascii="Times New Roman" w:hAnsi="Times New Roman" w:cs="Times New Roman"/>
          <w:sz w:val="28"/>
          <w:szCs w:val="28"/>
        </w:rPr>
        <w:t xml:space="preserve"> вмешательство в экономические процессы. Трудности экономического развития в последние десятилетия, необходимость </w:t>
      </w:r>
      <w:proofErr w:type="spellStart"/>
      <w:r w:rsidRPr="00CA3AAE">
        <w:rPr>
          <w:rFonts w:ascii="Times New Roman" w:hAnsi="Times New Roman" w:cs="Times New Roman"/>
          <w:sz w:val="28"/>
          <w:szCs w:val="28"/>
        </w:rPr>
        <w:t>переструктурирования</w:t>
      </w:r>
      <w:proofErr w:type="spellEnd"/>
      <w:r w:rsidRPr="00CA3AAE">
        <w:rPr>
          <w:rFonts w:ascii="Times New Roman" w:hAnsi="Times New Roman" w:cs="Times New Roman"/>
          <w:sz w:val="28"/>
          <w:szCs w:val="28"/>
        </w:rPr>
        <w:t xml:space="preserve"> на постиндустриальный тип общества нередко обусловливают конфликты властных структур и профсоюзов. Бремя преобразований распределяется именно на те слои, которые в 50-70-е гг. выиграли от экономического возрождения. Сегодня они вынуждены взять на себя основную долю тягот. Это касается, прежде всего, </w:t>
      </w:r>
      <w:proofErr w:type="spellStart"/>
      <w:r w:rsidRPr="00CA3AAE">
        <w:rPr>
          <w:rFonts w:ascii="Times New Roman" w:hAnsi="Times New Roman" w:cs="Times New Roman"/>
          <w:sz w:val="28"/>
          <w:szCs w:val="28"/>
        </w:rPr>
        <w:t>наѐмных</w:t>
      </w:r>
      <w:proofErr w:type="spellEnd"/>
      <w:r w:rsidRPr="00CA3AAE">
        <w:rPr>
          <w:rFonts w:ascii="Times New Roman" w:hAnsi="Times New Roman" w:cs="Times New Roman"/>
          <w:sz w:val="28"/>
          <w:szCs w:val="28"/>
        </w:rPr>
        <w:t xml:space="preserve"> работников и их организаций. Поэтому перед государством стоит задача не допустить администрирования процессов регулирования отношений в социально-трудовой сфере. Система социального партнерства на различных уровнях относительно самостоятельна и носит специфический характер. Одновременно они тесно взаимосвязаны между собой. По мере укрепления взаимосвязей всех соглашений и договоров, взаимного обмена, стимулирования оптимального использования имеющихся ресурсов создаются реальные условия экономической и политической стабильности в обществе [12, С. 87–88]. 73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 уровню </w:t>
      </w:r>
      <w:r w:rsidRPr="00CA3AAE">
        <w:rPr>
          <w:rFonts w:ascii="Times New Roman" w:hAnsi="Times New Roman" w:cs="Times New Roman"/>
          <w:i/>
          <w:iCs/>
          <w:sz w:val="28"/>
          <w:szCs w:val="28"/>
        </w:rPr>
        <w:t xml:space="preserve">участия работников в управлении предприятием </w:t>
      </w:r>
      <w:r w:rsidRPr="00CA3AAE">
        <w:rPr>
          <w:rFonts w:ascii="Times New Roman" w:hAnsi="Times New Roman" w:cs="Times New Roman"/>
          <w:sz w:val="28"/>
          <w:szCs w:val="28"/>
        </w:rPr>
        <w:t xml:space="preserve">и представительству их интересов и социально-трудовых прав в мировой практике сложились три наиболее характерных модели. Первая модель – </w:t>
      </w:r>
      <w:r w:rsidRPr="00CA3AAE">
        <w:rPr>
          <w:rFonts w:ascii="Times New Roman" w:hAnsi="Times New Roman" w:cs="Times New Roman"/>
          <w:i/>
          <w:iCs/>
          <w:sz w:val="28"/>
          <w:szCs w:val="28"/>
        </w:rPr>
        <w:t xml:space="preserve">профсоюзное представительство. </w:t>
      </w:r>
      <w:r w:rsidRPr="00CA3AAE">
        <w:rPr>
          <w:rFonts w:ascii="Times New Roman" w:hAnsi="Times New Roman" w:cs="Times New Roman"/>
          <w:sz w:val="28"/>
          <w:szCs w:val="28"/>
        </w:rPr>
        <w:t xml:space="preserve">В ряде стран (США, Канада, Япония, Польша, Великобритания, Ирландия, Италия и др.) профсоюзная организация на предприятии по закону считается представителем не только членов профсоюза, но и всех работников, не входящих в профессиональный союз. Как правило, работодатель признает «наиболее представительный союз». В случае конфликта, отказа работодателя от ведения коллективных переговоров представительство признается только за тем профсоюзом, чьи полномочия на данное представительство подтверждены официально путем выдачи сертификата Национальным управлением по трудовым отношениям США. Названный сертификат получит только тот профсоюз, в котором членами являются не менее 30 % работников предприятия. Однако современное законодательство США не исключает и формы рабочего представительства. Совершенно особая система профсоюзного представительства существует в Великобритании. Она не легализована на уровне национального законодательства, а обычно регламентируется коллективными </w:t>
      </w:r>
      <w:r w:rsidRPr="00CA3AAE">
        <w:rPr>
          <w:rFonts w:ascii="Times New Roman" w:hAnsi="Times New Roman" w:cs="Times New Roman"/>
          <w:sz w:val="28"/>
          <w:szCs w:val="28"/>
        </w:rPr>
        <w:lastRenderedPageBreak/>
        <w:t>договорами, где определяются полномочия цеховых старост (</w:t>
      </w:r>
      <w:proofErr w:type="spellStart"/>
      <w:r w:rsidRPr="00CA3AAE">
        <w:rPr>
          <w:rFonts w:ascii="Times New Roman" w:hAnsi="Times New Roman" w:cs="Times New Roman"/>
          <w:sz w:val="28"/>
          <w:szCs w:val="28"/>
        </w:rPr>
        <w:t>шоп</w:t>
      </w:r>
      <w:proofErr w:type="spellEnd"/>
      <w:r w:rsidRPr="00CA3AAE">
        <w:rPr>
          <w:rFonts w:ascii="Times New Roman" w:hAnsi="Times New Roman" w:cs="Times New Roman"/>
          <w:sz w:val="28"/>
          <w:szCs w:val="28"/>
        </w:rPr>
        <w:t xml:space="preserve"> - стюардов) и комитетов цеховых старост. Вторая модель – </w:t>
      </w:r>
      <w:r w:rsidRPr="00CA3AAE">
        <w:rPr>
          <w:rFonts w:ascii="Times New Roman" w:hAnsi="Times New Roman" w:cs="Times New Roman"/>
          <w:i/>
          <w:iCs/>
          <w:sz w:val="28"/>
          <w:szCs w:val="28"/>
        </w:rPr>
        <w:t xml:space="preserve">«чистое представительство» </w:t>
      </w:r>
      <w:r w:rsidRPr="00CA3AAE">
        <w:rPr>
          <w:rFonts w:ascii="Times New Roman" w:hAnsi="Times New Roman" w:cs="Times New Roman"/>
          <w:sz w:val="28"/>
          <w:szCs w:val="28"/>
        </w:rPr>
        <w:t xml:space="preserve">наемных работников в советах и комитетах предприятий, типична для Австрии, Греции, Испании, Португалии, Германии, Нидерландов и др. Советы (комитеты предприятий) являются органами рабочего представительства. Трудовой коллектив избирает своих представителей в этот орган. Его количественный состав и сроки избрания устанавливаются в законодательных актах. По объему полномочий это, как правило, консультативный орган по социальным вопросам, касающихся рабочего времени и отпусков, охраны труда, разработки социальных мероприятий. В производственно-хозяйственной сфере деятельности предприятия совет (комитет) имеет право только на получение от работодателя соответствующей информации. Работодатель вправе ограничиться лишь консультациями с этим органом по социальным вопросам. Порядок таких консультаций, степень обязательности в них учета мнения совета предприятия конкретизируются в рамках коллективных договоров или специальных внутрифирменных соглашений.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Третья модель – </w:t>
      </w:r>
      <w:r w:rsidRPr="00CA3AAE">
        <w:rPr>
          <w:rFonts w:ascii="Times New Roman" w:hAnsi="Times New Roman" w:cs="Times New Roman"/>
          <w:i/>
          <w:iCs/>
          <w:sz w:val="28"/>
          <w:szCs w:val="28"/>
        </w:rPr>
        <w:t xml:space="preserve">«смешанное представительство» </w:t>
      </w:r>
      <w:r w:rsidRPr="00CA3AAE">
        <w:rPr>
          <w:rFonts w:ascii="Times New Roman" w:hAnsi="Times New Roman" w:cs="Times New Roman"/>
          <w:sz w:val="28"/>
          <w:szCs w:val="28"/>
        </w:rPr>
        <w:t xml:space="preserve">– характерна для Бельгии, Дании, Ирландии, Франции и др. На предприятиях формируются советы (комитеты), в состав которых избираются трудовым коллективом представители наемных работников и назначаются администрацией 74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представители работодателя. Названные советы обладают более широкими полномочиями, включая участие в решении вопросов, внутреннего трудового распорядка, охраны труда. Смешанное представительство в комитетах предполагает участие последних в организации управления и хозяйственной деятельности предприятия. Так, по законодательству Франции глава предприятия обязан ежегодно представлять в комитет доклад о хозяйственном обороте предприятия, о движении заработной платы в истекшем году и др. Работодатель также обязан запросить мнение комитета предприятия по таким вопросам как: изменение численности и структуры штатов, о продолжительности рабочего времени, условиях труда. Это обязательная консультация: если решение принято работодателем без таковой, то оно может быть аннулировано судом. В акционерных обществах комитет предприятия направляет на заседания администрации или наблюдательного совета от двух до четырех своих представителей [12, с.92-94]. По критерию взаимоотношений профсоюзов с организациями работодателей традиционно проводится различие между «</w:t>
      </w:r>
      <w:r w:rsidRPr="00CA3AAE">
        <w:rPr>
          <w:rFonts w:ascii="Times New Roman" w:hAnsi="Times New Roman" w:cs="Times New Roman"/>
          <w:i/>
          <w:iCs/>
          <w:sz w:val="28"/>
          <w:szCs w:val="28"/>
        </w:rPr>
        <w:t>волюнтаристской» моделью</w:t>
      </w:r>
      <w:r w:rsidRPr="00CA3AAE">
        <w:rPr>
          <w:rFonts w:ascii="Times New Roman" w:hAnsi="Times New Roman" w:cs="Times New Roman"/>
          <w:sz w:val="28"/>
          <w:szCs w:val="28"/>
        </w:rPr>
        <w:t>, первоначально применяемой в Великобритании, а затем в США, и «</w:t>
      </w:r>
      <w:r w:rsidRPr="00CA3AAE">
        <w:rPr>
          <w:rFonts w:ascii="Times New Roman" w:hAnsi="Times New Roman" w:cs="Times New Roman"/>
          <w:i/>
          <w:iCs/>
          <w:sz w:val="28"/>
          <w:szCs w:val="28"/>
        </w:rPr>
        <w:t xml:space="preserve">европейской» моделью </w:t>
      </w:r>
      <w:r w:rsidRPr="00CA3AAE">
        <w:rPr>
          <w:rFonts w:ascii="Times New Roman" w:hAnsi="Times New Roman" w:cs="Times New Roman"/>
          <w:sz w:val="28"/>
          <w:szCs w:val="28"/>
        </w:rPr>
        <w:t>партнерских отношений, подразделяемой на «</w:t>
      </w:r>
      <w:r w:rsidRPr="00CA3AAE">
        <w:rPr>
          <w:rFonts w:ascii="Times New Roman" w:hAnsi="Times New Roman" w:cs="Times New Roman"/>
          <w:i/>
          <w:iCs/>
          <w:sz w:val="28"/>
          <w:szCs w:val="28"/>
        </w:rPr>
        <w:t>германскую» и «латинскую</w:t>
      </w:r>
      <w:r w:rsidRPr="00CA3AAE">
        <w:rPr>
          <w:rFonts w:ascii="Times New Roman" w:hAnsi="Times New Roman" w:cs="Times New Roman"/>
          <w:sz w:val="28"/>
          <w:szCs w:val="28"/>
        </w:rPr>
        <w:t xml:space="preserve">». При «волюнтаристской» модели в Великобритании каждый профсоюз ведет коллективные переговоры с предпринимателями, который, как правило, не распространяется на всю отрасль или другие сферы. В целом для Великобритании характерно заключение множества коллективных договоров, совершенно различных по своему содержанию и степени охвата работников. Кроме того, на уровне предприятия коллективные переговоры проходят почти постоянно и неформально между автономной группой шоп-стюардов и управляющими различных звеньев. В силу исторически сложившихся условий коллективные договора в Великобритании не закреплены каким-либо законодательным актом. Правительство, властные структуры всегда лишь косвенно поддерживают процесс коллективных </w:t>
      </w:r>
      <w:r w:rsidRPr="00CA3AAE">
        <w:rPr>
          <w:rFonts w:ascii="Times New Roman" w:hAnsi="Times New Roman" w:cs="Times New Roman"/>
          <w:sz w:val="28"/>
          <w:szCs w:val="28"/>
        </w:rPr>
        <w:lastRenderedPageBreak/>
        <w:t xml:space="preserve">переговоров, стимулируя создание совместных профсоюзно-предпринимательских Советов по заработной плате в частном секторе, за исключением национализированных отраслей, где заключение договоров является обязательным.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«Европейская» модель предполагает более централизованный уровень регулирования трудовых отношений, преследует цель согласования и защиты интересов работников, работодателей и властных структур. Вмешательство органов государственной власти, местного самоуправления в процесс социально-трудовых отношений, принятия 75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коллективных договоров и соглашений более значительно, чем в английской модели. «Европейская» модель партнерских отношений применяется во многих странах. При этом учитывают определенные различия, обусловленные причинами национального и политического характера. Классифицируются чаще всего «германская» и «латинская» модели. В странах, применяющих </w:t>
      </w:r>
      <w:r w:rsidRPr="00CA3AAE">
        <w:rPr>
          <w:rFonts w:ascii="Times New Roman" w:hAnsi="Times New Roman" w:cs="Times New Roman"/>
          <w:i/>
          <w:iCs/>
          <w:sz w:val="28"/>
          <w:szCs w:val="28"/>
        </w:rPr>
        <w:t xml:space="preserve">«германскую» модель, </w:t>
      </w:r>
      <w:r w:rsidRPr="00CA3AAE">
        <w:rPr>
          <w:rFonts w:ascii="Times New Roman" w:hAnsi="Times New Roman" w:cs="Times New Roman"/>
          <w:sz w:val="28"/>
          <w:szCs w:val="28"/>
        </w:rPr>
        <w:t>каждая из организаций, занимающихся коллективными переговорами, заключает довольно много отраслевых или секторальных соглашений, варьирующихся от крупных предприятий машиностроительных отраслей до чрезвычайно мелких ремесленных производств и предприятий сферы услуг. «Германская» модель социального партнерства получила широкое распространение в Австрии, Голландии, Дании, Бельгии, Швейцарии, скандинавских странах. Основой «германской» модели коллективных переговоров является идея создания сети отраслевых соглашений, устраивающих по своим условиям, как предпринимателей, так и профсоюзы, поскольку в этих странах (в отличие от Великобритании) практически нет компаний, в которых не действовали бы профсоюзные организации. Однако доминирование отраслевых соглашений не исключает наличия коллективных договоров на уровне одного предприятия или компании. Напротив, в рамках соглашения на уровне отрасли или сектора промышленности в малых странах заключаются и коллективные договоры на предприятиях, хотя они охватывают меньшее число занятых. Например, в Голландии 200 национальных отраслевых соглашений распространяются на 2,5 млн. занятых, а 700 договоров, заключенных отдельными компаниями, – на 0,5 млн. В Швейцарии 500 национальных и региональных соглашений охватывают 1,25 млн. чел., в то время, как 600 договоров, заключенных на уровне предприятия, – только 150 тыс. чел. Как правило, все эти соглашения имеют разные исторические корни, иногда берущие свое начало в 20-х или 30-х гг. XX в., когда большие предприятия пошли на уступки профсоюзам и стали заключать с ними конкретные коллективные договора. Выработанная на протяжении многих лет традиция привела к тому, что коллективные переговоры в странах с «германской» моделью проходят в обстановке взаимного доверия, что нашло свое отражение даже в названии коллективного договора – «</w:t>
      </w:r>
      <w:proofErr w:type="spellStart"/>
      <w:r w:rsidRPr="00CA3AAE">
        <w:rPr>
          <w:rFonts w:ascii="Times New Roman" w:hAnsi="Times New Roman" w:cs="Times New Roman"/>
          <w:sz w:val="28"/>
          <w:szCs w:val="28"/>
        </w:rPr>
        <w:t>tarifpartner</w:t>
      </w:r>
      <w:proofErr w:type="spellEnd"/>
      <w:r w:rsidRPr="00CA3AAE">
        <w:rPr>
          <w:rFonts w:ascii="Times New Roman" w:hAnsi="Times New Roman" w:cs="Times New Roman"/>
          <w:sz w:val="28"/>
          <w:szCs w:val="28"/>
        </w:rPr>
        <w:t>» в Германии и «</w:t>
      </w:r>
      <w:proofErr w:type="spellStart"/>
      <w:r w:rsidRPr="00CA3AAE">
        <w:rPr>
          <w:rFonts w:ascii="Times New Roman" w:hAnsi="Times New Roman" w:cs="Times New Roman"/>
          <w:sz w:val="28"/>
          <w:szCs w:val="28"/>
        </w:rPr>
        <w:t>sociale</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partners</w:t>
      </w:r>
      <w:proofErr w:type="spellEnd"/>
      <w:r w:rsidRPr="00CA3AAE">
        <w:rPr>
          <w:rFonts w:ascii="Times New Roman" w:hAnsi="Times New Roman" w:cs="Times New Roman"/>
          <w:sz w:val="28"/>
          <w:szCs w:val="28"/>
        </w:rPr>
        <w:t>» в Голландии и Бельгии. В скандинавских странах для определения профсоюзов и предпринимателей придерживаются термина «</w:t>
      </w:r>
      <w:proofErr w:type="spellStart"/>
      <w:r w:rsidRPr="00CA3AAE">
        <w:rPr>
          <w:rFonts w:ascii="Times New Roman" w:hAnsi="Times New Roman" w:cs="Times New Roman"/>
          <w:sz w:val="28"/>
          <w:szCs w:val="28"/>
        </w:rPr>
        <w:t>Labor</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market</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parties</w:t>
      </w:r>
      <w:proofErr w:type="spellEnd"/>
      <w:r w:rsidRPr="00CA3AAE">
        <w:rPr>
          <w:rFonts w:ascii="Times New Roman" w:hAnsi="Times New Roman" w:cs="Times New Roman"/>
          <w:sz w:val="28"/>
          <w:szCs w:val="28"/>
        </w:rPr>
        <w:t xml:space="preserve">» (стороны, выступающие на рынке труда).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«Латинская» модель </w:t>
      </w:r>
      <w:r w:rsidRPr="00CA3AAE">
        <w:rPr>
          <w:rFonts w:ascii="Times New Roman" w:hAnsi="Times New Roman" w:cs="Times New Roman"/>
          <w:sz w:val="28"/>
          <w:szCs w:val="28"/>
        </w:rPr>
        <w:t xml:space="preserve">коллективных переговоров также отраслевая, однако в ней доминирует заключение локальных или региональных 76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коллективных договоров. Причины преобладания локальных переговоров объясняются тем, что они (локальные переговоры) предоставляют предпринимателям возможность непосредственно влиять на процесс подготовки и принятия коллективного договора, поскольку взаимное недоверие между профсоюзами и </w:t>
      </w:r>
      <w:r w:rsidRPr="00CA3AAE">
        <w:rPr>
          <w:rFonts w:ascii="Times New Roman" w:hAnsi="Times New Roman" w:cs="Times New Roman"/>
          <w:sz w:val="28"/>
          <w:szCs w:val="28"/>
        </w:rPr>
        <w:lastRenderedPageBreak/>
        <w:t xml:space="preserve">организациями предпринимателей в странах «латинской» модели гораздо сильнее, чем в странах, применяющих «германскую» модель. Кроме того, в «латинской» Европе (Италия, Франция, Испания) существуют довольно контрастные региональные различия в условиях труда. Это приводит к более активному вовлечению властных структур в процесс коллективных переговоров. Образно говоря, властные структуры «стоят за дверью той комнаты, где ведутся переговоры, и профсоюзы используют любую возможность открыть для них эту дверь, поскольку считают, что предприниматели в переговорах не заинтересованы» [12, С. 94–96]. Опыт развитых западных стран показал, что эволюция зрелых трудовых отношений, характеризуемых порядком и правильной структурой зарплаты, почти всегда связана с некоторыми аспектами коллективного торга. Коллективные торги на Западе имеют некоторые характерные черты: 1) высокая степень вовлечения в коллективные торги и заключение коллективных договоров больших масс рабочих; 2) ответственное поведение обеих сторон в коллективном торге как до начала переговоров, так и в момент принятия соглашения; 3) установление верных приоритетных вопросов в соглашении и их пересмотр с течением времени; 4) главная цель торгов – установление справедливых и стабильных трудовых отношений [18, С. 59]. Мировой опыт показывает: что без четкой государственной политики в распределении национального дохода и </w:t>
      </w:r>
      <w:r w:rsidRPr="00CA3AAE">
        <w:rPr>
          <w:rFonts w:ascii="Times New Roman" w:hAnsi="Times New Roman" w:cs="Times New Roman"/>
          <w:i/>
          <w:iCs/>
          <w:sz w:val="28"/>
          <w:szCs w:val="28"/>
        </w:rPr>
        <w:t xml:space="preserve">участия трудящихся в управлении производством </w:t>
      </w:r>
      <w:r w:rsidRPr="00CA3AAE">
        <w:rPr>
          <w:rFonts w:ascii="Times New Roman" w:hAnsi="Times New Roman" w:cs="Times New Roman"/>
          <w:sz w:val="28"/>
          <w:szCs w:val="28"/>
        </w:rPr>
        <w:t>нельзя надеяться на общественное согласие в масштабах страны. Успех социального партнерства в странах Запада объясняется конкретными результатами социально-экономического порядка. Во-первых, начиная с середины XX в. профсоюзы в Западной Европе, Северной Америке, Японии добились стандартного семейного бюджета</w:t>
      </w:r>
      <w:r w:rsidRPr="00CA3AAE">
        <w:rPr>
          <w:rFonts w:ascii="Times New Roman" w:hAnsi="Times New Roman" w:cs="Times New Roman"/>
          <w:i/>
          <w:iCs/>
          <w:sz w:val="28"/>
          <w:szCs w:val="28"/>
        </w:rPr>
        <w:t xml:space="preserve">, </w:t>
      </w:r>
      <w:r w:rsidRPr="00CA3AAE">
        <w:rPr>
          <w:rFonts w:ascii="Times New Roman" w:hAnsi="Times New Roman" w:cs="Times New Roman"/>
          <w:sz w:val="28"/>
          <w:szCs w:val="28"/>
        </w:rPr>
        <w:t xml:space="preserve">обеспечившего автомобилизацию населения, механизацию домашнего хозяйства, подъем фермерских хозяйств. Во-вторых, профсоюзы и социал-демократические партии добились принятия общенациональных систем социального обеспечения, включающих пенсии по возрасту, пособия по болезни, инвалидности, безработице, медицинскому страхованию и т.п. В-третьих, крупнейшим завоеванием профсоюзов на Западе стало сокращение рабочего дня и увеличение свободного времени работникам. 77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На Западе системы социального партнерства формировались в основном в период экстремальных экономических ситуаций, кризисов, и они сыграли роль эффективного стабилизирующего фактора. Подтверждением этому могут служить: пакт «</w:t>
      </w:r>
      <w:proofErr w:type="spellStart"/>
      <w:r w:rsidRPr="00CA3AAE">
        <w:rPr>
          <w:rFonts w:ascii="Times New Roman" w:hAnsi="Times New Roman" w:cs="Times New Roman"/>
          <w:sz w:val="28"/>
          <w:szCs w:val="28"/>
        </w:rPr>
        <w:t>Монклоа</w:t>
      </w:r>
      <w:proofErr w:type="spellEnd"/>
      <w:r w:rsidRPr="00CA3AAE">
        <w:rPr>
          <w:rFonts w:ascii="Times New Roman" w:hAnsi="Times New Roman" w:cs="Times New Roman"/>
          <w:sz w:val="28"/>
          <w:szCs w:val="28"/>
        </w:rPr>
        <w:t xml:space="preserve">» (1977–1978 гг.), предложенный социал-демократами, пребывавшим у власти в Испании в </w:t>
      </w:r>
      <w:proofErr w:type="spellStart"/>
      <w:r w:rsidRPr="00CA3AAE">
        <w:rPr>
          <w:rFonts w:ascii="Times New Roman" w:hAnsi="Times New Roman" w:cs="Times New Roman"/>
          <w:sz w:val="28"/>
          <w:szCs w:val="28"/>
        </w:rPr>
        <w:t>постфранкистский</w:t>
      </w:r>
      <w:proofErr w:type="spellEnd"/>
      <w:r w:rsidRPr="00CA3AAE">
        <w:rPr>
          <w:rFonts w:ascii="Times New Roman" w:hAnsi="Times New Roman" w:cs="Times New Roman"/>
          <w:sz w:val="28"/>
          <w:szCs w:val="28"/>
        </w:rPr>
        <w:t xml:space="preserve"> период; «Линия ЭУР» (1978г.) в Италии, осуществляемая компартией в период </w:t>
      </w:r>
      <w:proofErr w:type="spellStart"/>
      <w:r w:rsidRPr="00CA3AAE">
        <w:rPr>
          <w:rFonts w:ascii="Times New Roman" w:hAnsi="Times New Roman" w:cs="Times New Roman"/>
          <w:sz w:val="28"/>
          <w:szCs w:val="28"/>
        </w:rPr>
        <w:t>еѐ</w:t>
      </w:r>
      <w:proofErr w:type="spellEnd"/>
      <w:r w:rsidRPr="00CA3AAE">
        <w:rPr>
          <w:rFonts w:ascii="Times New Roman" w:hAnsi="Times New Roman" w:cs="Times New Roman"/>
          <w:sz w:val="28"/>
          <w:szCs w:val="28"/>
        </w:rPr>
        <w:t xml:space="preserve"> пребывания «на пороге власти»; «социальный контракт» (1974 г.) в Великобритании, предложенный лейбористами; концепция «концентрированного действия» в ФРГ. Анализ зарубежного опыта развития социального партнерства свидетельствует, что западная демократия определила такого рода отношения в социально-трудовой сфере как основную форму взаимодействия работников, работодателей и государства. Социальное партнерство отражает исторически обусловленный компромисс интересов главных субъектов современных экономических отношений и выражает объективную необходимость социального согласия и мира как основного условия политической, экономической и социальной стабильности [12, С. 99–100]. 4.4 Политэкономическая теория социального партнерства Общая система СП позволяет по-новому сформулировать само </w:t>
      </w:r>
      <w:r w:rsidRPr="00CA3AAE">
        <w:rPr>
          <w:rFonts w:ascii="Times New Roman" w:hAnsi="Times New Roman" w:cs="Times New Roman"/>
          <w:i/>
          <w:iCs/>
          <w:sz w:val="28"/>
          <w:szCs w:val="28"/>
        </w:rPr>
        <w:lastRenderedPageBreak/>
        <w:t>определение социального партнерства</w:t>
      </w:r>
      <w:r w:rsidRPr="00CA3AAE">
        <w:rPr>
          <w:rFonts w:ascii="Times New Roman" w:hAnsi="Times New Roman" w:cs="Times New Roman"/>
          <w:sz w:val="28"/>
          <w:szCs w:val="28"/>
        </w:rPr>
        <w:t xml:space="preserve">. Это цивилизованная система общественных отношений по поводу воспроизводства Продукта некоммерческого сектора Система строится на согласовании и защите интересов его участников – потребителей, Продукта некоммерческого сектора, некоммерческих организаций, инвесторов из коммерческого сектора либо зарубежных благотворительных фондов, органов государственной власти и местного самоуправления на основе договоров, соглашений, достижения компромисса, консенсуса по актуальным проблемам экономической и социально-политической жизни общества [12, С. 184]. НКО и, в том числе профсоюзы, производят услуги, внешне похожие на общественные блага, которые предоставляются потребителям бесплатно либо по ценам, не имеющим экономического значения [11, С. 364] (т.е. символическим, ниже себестоимости). Такие услуги мы называем «Продукт некоммерческого сектора»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i/>
          <w:iCs/>
          <w:sz w:val="28"/>
          <w:szCs w:val="28"/>
        </w:rPr>
        <w:t xml:space="preserve">Продукт некоммерческого сектора </w:t>
      </w:r>
      <w:r w:rsidRPr="00CA3AAE">
        <w:rPr>
          <w:rFonts w:ascii="Times New Roman" w:hAnsi="Times New Roman" w:cs="Times New Roman"/>
          <w:sz w:val="28"/>
          <w:szCs w:val="28"/>
        </w:rPr>
        <w:t xml:space="preserve">– это услуга некоммерческих организаций по производству и реализации различных общественных благ и товаров индивидуального потребления, которые удовлетворяют частные и некоторые всеобщие потребности домохозяйств, а также в некоторой степени потребности коммерческого сектора, государства и других НКО, 78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которые не могут производиться на обычных рыночных условиях, а также государством в виде общественных благ [13, С. 81–82]. В случае тред-юнионистского социального партнерства ПНС представляется в форме социального мира на рынке труда, от которого выигрывают, по крайней мере, три стороны. Работодатели получают стабильный процесс производства, без забастовок, и, следовательно, стабильную прибыль. Наемные работники получают стабильную и высокую зарплату. Государство получает социальный мир. Традиционно производство благ, удовлетворяющих всеобщие потребности, под названием «общественных» брало на себя государство. Понятие ПНС наиболее близко к категориям «клубных благ» и «общественных благ» (товаров), хотя в отдельных случаях ПНС может удовлетворять частные потребности через производство или реализацию продуктов индивидуального потребления. Он выступает в форме услуги. С одной стороны, ПНС является частным случаем </w:t>
      </w:r>
      <w:r w:rsidRPr="00CA3AAE">
        <w:rPr>
          <w:rFonts w:ascii="Times New Roman" w:hAnsi="Times New Roman" w:cs="Times New Roman"/>
          <w:i/>
          <w:iCs/>
          <w:sz w:val="28"/>
          <w:szCs w:val="28"/>
        </w:rPr>
        <w:t xml:space="preserve">социально значимого блага </w:t>
      </w:r>
      <w:r w:rsidRPr="00CA3AAE">
        <w:rPr>
          <w:rFonts w:ascii="Times New Roman" w:hAnsi="Times New Roman" w:cs="Times New Roman"/>
          <w:sz w:val="28"/>
          <w:szCs w:val="28"/>
        </w:rPr>
        <w:t xml:space="preserve">(заслуженное благо), к которому относятся образование, здравоохранение, культура и услуги других отраслей социально-культурной сферы. Социально значимое благо обладает свойствами частного исключаемого блага и свойствами общественного блага благодаря положительному эффекту. С другой стороны, ПНС частично относится к клубным благам, которые предоставляются определенному составу потребителей. В-третьих, ПНС бывает в виде частного, хотя и предоставляемого в виде трансферта, блага, потребляемого индивидуально (благотворительная помощь нуждающимся). ПНС подразделяется на две существенно различающиеся между собой группы – «Продукт политического действия» (ППД) и «Продукт неполитического некоммерческого действия» (ПННД). </w:t>
      </w:r>
      <w:r w:rsidRPr="00CA3AAE">
        <w:rPr>
          <w:rFonts w:ascii="Times New Roman" w:hAnsi="Times New Roman" w:cs="Times New Roman"/>
          <w:i/>
          <w:iCs/>
          <w:sz w:val="28"/>
          <w:szCs w:val="28"/>
        </w:rPr>
        <w:t xml:space="preserve">Продукт неполитического некоммерческого действия (ПННД) </w:t>
      </w:r>
      <w:r w:rsidRPr="00CA3AAE">
        <w:rPr>
          <w:rFonts w:ascii="Times New Roman" w:hAnsi="Times New Roman" w:cs="Times New Roman"/>
          <w:sz w:val="28"/>
          <w:szCs w:val="28"/>
        </w:rPr>
        <w:t xml:space="preserve">– это ПНС, удовлетворяющий неполитические потребности общества некоммерческим способом [13, с.82]. По характеру удовлетворения интересов ПННД следует подразделить на виды: 1. Услуги по производству или передаче жизненно необходимых благ. Это блага (предметы или услуги), необходимые для физического существования людей, неспособных их приобрести на собственные доходы: лекарства, предметы первой </w:t>
      </w:r>
      <w:r w:rsidRPr="00CA3AAE">
        <w:rPr>
          <w:rFonts w:ascii="Times New Roman" w:hAnsi="Times New Roman" w:cs="Times New Roman"/>
          <w:sz w:val="28"/>
          <w:szCs w:val="28"/>
        </w:rPr>
        <w:lastRenderedPageBreak/>
        <w:t xml:space="preserve">необходимости, которые жертвуются социально незащищенным слоям граждан (инвалиды, престарелые, дети и другие малоимущие, также попавшие в чрезвычайные ситуации и т.п.).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Эти функции осуществляют благотворительные организации. Сюда же относится деятельность органов потребительской кооперации, кредитных союзов, некоммерческих страховых компаний, садовых и 79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огородных кооперативов, которые способствуют приобретению своими членами различных материальных благ по ценам ниже рыночных. 2. Услуги по обеспечению общественной и личной безопасности. Это меры по сохранению и укреплению физического, психического здоровья и жизни медицинскими, экологическими, физкультурно-спортивными и силовыми методами. 3. Услуги по получению факторных доходов. </w:t>
      </w:r>
      <w:r w:rsidRPr="00CA3AAE">
        <w:rPr>
          <w:rFonts w:ascii="Times New Roman" w:hAnsi="Times New Roman" w:cs="Times New Roman"/>
          <w:i/>
          <w:iCs/>
          <w:sz w:val="28"/>
          <w:szCs w:val="28"/>
        </w:rPr>
        <w:t xml:space="preserve">Факторные доходы </w:t>
      </w:r>
      <w:r w:rsidRPr="00CA3AAE">
        <w:rPr>
          <w:rFonts w:ascii="Times New Roman" w:hAnsi="Times New Roman" w:cs="Times New Roman"/>
          <w:sz w:val="28"/>
          <w:szCs w:val="28"/>
        </w:rPr>
        <w:t xml:space="preserve">– это заработная плата, прибыль, процент и рента. Эту роль выполняют профсоюзы, объединения работодателей, иногда правозащитные организации. 4. Услуги по обмену информацией и духовному развитию. Их оказывают религиозные, просветительские, национально-культурные организации, клубы по интересам и т.п. 5. Услуги по развитию инфраструктуры по месту жительства. Данный вид ПННД должен производиться органами территориального общественного самоуправления (ТОС), призванными им содействовать НКО, жилищно-строительными и гаражными кооперативами, товариществами собственников жилья. Другим видом ПНС является </w:t>
      </w:r>
      <w:r w:rsidRPr="00CA3AAE">
        <w:rPr>
          <w:rFonts w:ascii="Times New Roman" w:hAnsi="Times New Roman" w:cs="Times New Roman"/>
          <w:i/>
          <w:iCs/>
          <w:sz w:val="28"/>
          <w:szCs w:val="28"/>
        </w:rPr>
        <w:t xml:space="preserve">продукт политического действия (ППД) </w:t>
      </w:r>
      <w:r w:rsidRPr="00CA3AAE">
        <w:rPr>
          <w:rFonts w:ascii="Times New Roman" w:hAnsi="Times New Roman" w:cs="Times New Roman"/>
          <w:sz w:val="28"/>
          <w:szCs w:val="28"/>
        </w:rPr>
        <w:t xml:space="preserve">– услуга по достижению определенной политической цели силами НКО [13, С. 83]. В случае избирательной кампании ППД будет выражаться в форме услуги по продвижению кандидатов от партии в депутаты. Непосредственный результат осуществления услуги – получение депутатских мандатов, а более отдаленный – принятие законов и других нормативных актов в пользу избирателей, отдавших свой голос за эту партию. В промежутках между избирательными кампаниями общественно-политические объединения осуществляют текущую политическую деятельность: организация общественных приемных, митингов, демонстраций, пикетов, торжественных вечеров, посвященных памятным датам, выпуск газет и другой партийной литературы, выступления в СМИ и т. п. Результатом политической деятельности может быть удовлетворение потребностей отдельных домохозяйств и их групп в духовных благах. Например, в получении новой информации, общение с единомышленниками и идеологическими оппонентами и т. п. Реже результатом политической деятельности в этом случае является удовлетворение потребности в материальных благах (получение факторных доходов партийными активистами и наемными работниками либо не факторных доходов в случае оказания депутатской или благотворительной помощи партийной организацией). 80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случае нахождения у власти общественно-политические организации, их представители-депутаты и разделяющие их взгляды чиновники участвуют в создании и принятии законопроектов и их реализации. В этом случае они находятся на службе у государства и их деятельность следует рассматривать как происходящую в переходной, буферной, зоне между государством и некоммерческим сектором. ППД в данном случае частично сливается с продуктом государства, т.к. он является результатом объединения нескольких общественных секторов. С точки зрения интересов избирателей именно он представляет собой наибольшую ценность, т.к. </w:t>
      </w:r>
      <w:r w:rsidRPr="00CA3AAE">
        <w:rPr>
          <w:rFonts w:ascii="Times New Roman" w:hAnsi="Times New Roman" w:cs="Times New Roman"/>
          <w:sz w:val="28"/>
          <w:szCs w:val="28"/>
        </w:rPr>
        <w:lastRenderedPageBreak/>
        <w:t xml:space="preserve">законодательство призвано устанавливать институциональные рамки для жизнедеятельности и получения доходов значительных групп домохозяйств и общества в целом на длительный период времени. Обобщенно все виды ПНС можно разделить на услуги по получению (или, по меньшей мере, поддержанию на имеющемся уровне) факторных и по получению </w:t>
      </w:r>
      <w:proofErr w:type="spellStart"/>
      <w:r w:rsidRPr="00CA3AAE">
        <w:rPr>
          <w:rFonts w:ascii="Times New Roman" w:hAnsi="Times New Roman" w:cs="Times New Roman"/>
          <w:sz w:val="28"/>
          <w:szCs w:val="28"/>
        </w:rPr>
        <w:t>нефакторных</w:t>
      </w:r>
      <w:proofErr w:type="spellEnd"/>
      <w:r w:rsidRPr="00CA3AAE">
        <w:rPr>
          <w:rFonts w:ascii="Times New Roman" w:hAnsi="Times New Roman" w:cs="Times New Roman"/>
          <w:sz w:val="28"/>
          <w:szCs w:val="28"/>
        </w:rPr>
        <w:t xml:space="preserve"> доходов теми или иными группами домохозяйств, иногда – государством либо большинства населения в целом, а также самой НКО. </w:t>
      </w:r>
      <w:r w:rsidRPr="00CA3AAE">
        <w:rPr>
          <w:rFonts w:ascii="Times New Roman" w:hAnsi="Times New Roman" w:cs="Times New Roman"/>
          <w:i/>
          <w:iCs/>
          <w:sz w:val="28"/>
          <w:szCs w:val="28"/>
        </w:rPr>
        <w:t xml:space="preserve">Факторные доходы </w:t>
      </w:r>
      <w:r w:rsidRPr="00CA3AAE">
        <w:rPr>
          <w:rFonts w:ascii="Times New Roman" w:hAnsi="Times New Roman" w:cs="Times New Roman"/>
          <w:sz w:val="28"/>
          <w:szCs w:val="28"/>
        </w:rPr>
        <w:t xml:space="preserve">– это заработная плата, прибыль, процент и рента. </w:t>
      </w:r>
      <w:r w:rsidRPr="00CA3AAE">
        <w:rPr>
          <w:rFonts w:ascii="Times New Roman" w:hAnsi="Times New Roman" w:cs="Times New Roman"/>
          <w:i/>
          <w:iCs/>
          <w:sz w:val="28"/>
          <w:szCs w:val="28"/>
        </w:rPr>
        <w:t xml:space="preserve">Не факторные доходы </w:t>
      </w:r>
      <w:r w:rsidRPr="00CA3AAE">
        <w:rPr>
          <w:rFonts w:ascii="Times New Roman" w:hAnsi="Times New Roman" w:cs="Times New Roman"/>
          <w:sz w:val="28"/>
          <w:szCs w:val="28"/>
        </w:rPr>
        <w:t>– это получение человеком или группами домохозяйств доходов, не связанных непосредственно с участием в общественном производстве. Это – различные трансферты в денежной или натуральной форме, а также возможность удовлетворения различных потребностей человека – в благоприятной экологической среде, в сохранении здоровья, в духовных ценностях и т.п. Данные общественные блага (экономические и неэкономические) считают превращенной формой доходов или «не факторными доходами», поскольку их недостаток в форме нерыночных благ превращает их в ряде случаев в экономические ресурсы, реализуемые через рынок, оплата которых ложится тяжким бременем на отдельных людей и на общество в целом. Обязательным является учет специфики применения к некоммерческому сектору экономических категорий, что может выражаться, в частности, в их специальном обозначении. Для выделения специфики ПНС, в отличие от продуктов, реализуемых на обычных рынках товаров, ресурсов или услуг, в отношении НКО следует использовать терминологию, применяемую в экономической теории, с приставкой «</w:t>
      </w:r>
      <w:proofErr w:type="spellStart"/>
      <w:r w:rsidRPr="00CA3AAE">
        <w:rPr>
          <w:rFonts w:ascii="Times New Roman" w:hAnsi="Times New Roman" w:cs="Times New Roman"/>
          <w:sz w:val="28"/>
          <w:szCs w:val="28"/>
        </w:rPr>
        <w:t>квази</w:t>
      </w:r>
      <w:proofErr w:type="spellEnd"/>
      <w:r w:rsidRPr="00CA3AAE">
        <w:rPr>
          <w:rFonts w:ascii="Times New Roman" w:hAnsi="Times New Roman" w:cs="Times New Roman"/>
          <w:sz w:val="28"/>
          <w:szCs w:val="28"/>
        </w:rPr>
        <w:t xml:space="preserve">», что значит «почти»: </w:t>
      </w:r>
      <w:proofErr w:type="spellStart"/>
      <w:r w:rsidRPr="00CA3AAE">
        <w:rPr>
          <w:rFonts w:ascii="Times New Roman" w:hAnsi="Times New Roman" w:cs="Times New Roman"/>
          <w:sz w:val="28"/>
          <w:szCs w:val="28"/>
        </w:rPr>
        <w:t>квазицена</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квазирента</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квазиприбыль</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квазииздержки</w:t>
      </w:r>
      <w:proofErr w:type="spellEnd"/>
      <w:r w:rsidRPr="00CA3AAE">
        <w:rPr>
          <w:rFonts w:ascii="Times New Roman" w:hAnsi="Times New Roman" w:cs="Times New Roman"/>
          <w:sz w:val="28"/>
          <w:szCs w:val="28"/>
        </w:rPr>
        <w:t xml:space="preserve"> и т.п. Полный цикл воспроизводства ПНС включает в себя стадии производства, обмена-распределения (обращения) и потребления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Стадию производства мы будем рассматривать с точки зрения 81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маржинализма, факторной теории. Обмен и распределение должны слиться в одну стадию, т.к. специфический характер производимого некоммерческим сектором продукта требует диалектического совмещения принципов рыночного обмена и административного распределения. Стадия потребления в данном случае имеет, прежде всего, значение как источник положительного общественного эффекта – обязательного условия для сохранения равновесия всей общественной системы. Реальность свидетельствует, что даже в экономически развитых странах государство не способно обеспечить своих граждан всеми необходимыми общественными товарами. Государство не может это сделать не только в силу ограниченности бюджета, но также по причине технической невозможности решать все местные, локальные, а тем более индивидуальные вопросы домохозяйств. Чрезмерные государственные расходы на социальную сферу чреваты негативными последствиями. Поэтому некоммерческий сектор постепенно берет на себя все больше функций по обеспечению общества услугами, аналогичными общественным и клубным благам, которые мы предлагаем назвать продуктом некоммерческого сектора. Гражданское общество в лице некоммерческого сектора имеет некоторые преимущества по сравнению с первым (государство) и вторым (коммерческим) секторами, которые позволяют ему более эффективно производить некоторые виды благ в форме ПНС: 1) значительное снижение себестоимости продукта достигается за счет использования </w:t>
      </w:r>
      <w:r w:rsidRPr="00CA3AAE">
        <w:rPr>
          <w:rFonts w:ascii="Times New Roman" w:hAnsi="Times New Roman" w:cs="Times New Roman"/>
          <w:sz w:val="28"/>
          <w:szCs w:val="28"/>
        </w:rPr>
        <w:lastRenderedPageBreak/>
        <w:t xml:space="preserve">неоплаченного труда волонтеров; 2) жесткая необходимость обмена на рынке эквивалентными ценностями отменяется на стадии обмена ПНС введением в рыночный оборот не факторных доходов; 3) отсутствие бюрократии и жестких иерархических отношений в ГО делает в ряде случаев процесс принятия решения о производстве и реализации ПНС более гибким и учитывающим особенность ситуации; 4) применение некоторых рыночных механизмов позволяет более эффективно производить и доводить ПНС до потребителя. Поэтому производство многих видов экономических благ, особенно в виде услуг, «общественных товаров», становится все более предметом функционирования некоммерческих структур. Резкое противопоставление «рыночного» и «нерыночного» секторов в применении к проблеме производства ПНС некорректно. «Нерыночный» сектор лучше классифицировать как </w:t>
      </w:r>
      <w:proofErr w:type="spellStart"/>
      <w:r w:rsidRPr="00CA3AAE">
        <w:rPr>
          <w:rFonts w:ascii="Times New Roman" w:hAnsi="Times New Roman" w:cs="Times New Roman"/>
          <w:i/>
          <w:iCs/>
          <w:sz w:val="28"/>
          <w:szCs w:val="28"/>
        </w:rPr>
        <w:t>квазирынок</w:t>
      </w:r>
      <w:proofErr w:type="spellEnd"/>
      <w:r w:rsidRPr="00CA3AAE">
        <w:rPr>
          <w:rFonts w:ascii="Times New Roman" w:hAnsi="Times New Roman" w:cs="Times New Roman"/>
          <w:i/>
          <w:iCs/>
          <w:sz w:val="28"/>
          <w:szCs w:val="28"/>
        </w:rPr>
        <w:t xml:space="preserve"> общественных товаров и ПНС</w:t>
      </w:r>
      <w:r w:rsidRPr="00CA3AAE">
        <w:rPr>
          <w:rFonts w:ascii="Times New Roman" w:hAnsi="Times New Roman" w:cs="Times New Roman"/>
          <w:sz w:val="28"/>
          <w:szCs w:val="28"/>
        </w:rPr>
        <w:t xml:space="preserve">. Несмотря на значительные нерыночные факторы, действующие в данном секторе, он не является полностью нерыночным особенно применительно к производству ПНС. Существуют значительные черты сходства между чисто рыночным сектором и </w:t>
      </w:r>
      <w:proofErr w:type="spellStart"/>
      <w:r w:rsidRPr="00CA3AAE">
        <w:rPr>
          <w:rFonts w:ascii="Times New Roman" w:hAnsi="Times New Roman" w:cs="Times New Roman"/>
          <w:sz w:val="28"/>
          <w:szCs w:val="28"/>
        </w:rPr>
        <w:t>квазирынком</w:t>
      </w:r>
      <w:proofErr w:type="spellEnd"/>
      <w:r w:rsidRPr="00CA3AAE">
        <w:rPr>
          <w:rFonts w:ascii="Times New Roman" w:hAnsi="Times New Roman" w:cs="Times New Roman"/>
          <w:sz w:val="28"/>
          <w:szCs w:val="28"/>
        </w:rPr>
        <w:t xml:space="preserve"> ПНС: 82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наличие в них конкуренции, как состояния борьбы за наилучшие условия воспроизводства, как среди потребителей, так и среди производителей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применимость к обоим секторам с некоторыми ограничениями рыночных законов – законов спроса, предложения и др.;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наличие обмена как способа перемещения произведенных продуктов среди членов общества;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свобода участников отношений;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относительная свобода в формировании, как рыночной цены, так и ее аналога – общественной ценности;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деятельность в условиях ограниченности ресурсов и др.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Рассмотрим производство ПНС с точки зрения системного подхода. Производство ПНС ведется на факторной основе. Процесс производства осуществляется основными факторами общественного производства – трудом, землей, капиталом и предпринимательскими способностями. Особенность воспроизводства ПНС состоит в том, что у организованных структур некоммерческого сектора часто нет в достаточном количестве собственных ресурсов для производства ПНС. Собственные ресурсы некоммерческого сектора выражаются обычно в наличии факторов производства – труда (как оплачиваемых исполнителей, так и волонтеров), предпринимательских способностей (актив НКО – управленцы). Лишь частично может присутствовать фактор «капитал» в виде оргтехники и помещений. Природные ресурсы (фактор «земля»), так и особенно денежные средства, необходимые для покупки необходимых факторов производства, у некоммерческого сектора пока отсутствуют. Лишь в отдельных случаях источники инвестиций в ПНС имеются в полном объеме у самих НКО. В частности, это касается общественных объединений ветеранов войны в Афганистане, которые, пользуясь непродолжительной практикой налоговых льгот, сумели создать собственный мощный промышленно-финансовый сектор. Иногда успешно занимаются бизнесом и направляют часть полученной прибыли на уставные </w:t>
      </w:r>
      <w:r w:rsidRPr="00CA3AAE">
        <w:rPr>
          <w:rFonts w:ascii="Times New Roman" w:hAnsi="Times New Roman" w:cs="Times New Roman"/>
          <w:sz w:val="28"/>
          <w:szCs w:val="28"/>
        </w:rPr>
        <w:lastRenderedPageBreak/>
        <w:t xml:space="preserve">цели коммерческие организации, учрежденные НКО инвалидов. В этом случае мы отмечаем первый возможный источник инвестиций в воспроизводство ПНС. Чаще же в создании ПНС участвуют благотворители из второго сектора (второй источник инвестиций в воспроизводство ПНС), благотворители из-за рубежа (обычно благотворительные фонды – третий источник инвестиций) и государство (четвертый источник инвестиций в воспроизводство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Практика благотворительности за прошедшее столетие наиболее значительно развилась за пределами России – в развитых странах, а также 83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отношениях между развитыми и развивающимися странами. Так, в 1990 г. в рамках оказания помощи в НКО стран «третьего мира» поступило более 7 млрд. долларов, из них 5 млрд. частных пожертвований от граждан развитых стран [3, С. 301]. Осознание позитивной роли структур некоммерческого сектора толкает благотворителей передавать нуждающемуся человеку или организации конкретные материальные ценности, деньги, нематериальные активы либо оказывать безвозмездные услуги, что вместе с факторами, принадлежащими некоммерческому сектору, создает в итоге ПННД. По данным А. Вербицкого, около 2/3 российских коммерческих структур занимаются благотворительностью. Среди банков эта доля значительно выше. В среднем российские банки жертвовали 2,4 % от налогооблагаемой прибыли, а некоторые даже превышали существовавшую до 2001 года квоту освобождаемой от налогообложения части прибыли [6, С. 77]. Значительное участие в ряде случаев в финансировании воспроизводства ПНС играет государство. Например, в ФРГ 70 % финансовых средств, используемых общественными организациями, выделяются из госбюджета. С экономической точки зрения, в современных условиях благотворительность можно рассматривать как вид </w:t>
      </w:r>
      <w:r w:rsidRPr="00CA3AAE">
        <w:rPr>
          <w:rFonts w:ascii="Times New Roman" w:hAnsi="Times New Roman" w:cs="Times New Roman"/>
          <w:i/>
          <w:iCs/>
          <w:sz w:val="28"/>
          <w:szCs w:val="28"/>
        </w:rPr>
        <w:t>инвестиций в ПННД</w:t>
      </w:r>
      <w:r w:rsidRPr="00CA3AAE">
        <w:rPr>
          <w:rFonts w:ascii="Times New Roman" w:hAnsi="Times New Roman" w:cs="Times New Roman"/>
          <w:sz w:val="28"/>
          <w:szCs w:val="28"/>
        </w:rPr>
        <w:t xml:space="preserve">. Одним из внешних стимулов передавать благотворительную помощь на производство ПНС для инвесторов может служить необходимость создания общественной атмосферы и усиления системы общественной безопасности с целью обезопасить свой бизнес, жизнь и здоровье себя и близких. Политика содействия развитию благотворительности со стороны государства может включать введение налоговых льгот для благотворителей. До введения в действие второй части Налогового Кодекса 1 января 2001 г. предприятиям, перечисляющим средства социально-культурным учреждениям и на благотворительные цели, были предоставлены небольшие налоговые льготы. До 1992 года сумма облагаемой налогом прибыли уменьшалась на величину соответствующих взносов, но не более чем на 1 % от общего ее размера. С 1992 г. этот предел был увеличен до 2 %, а с 1993 г. – до 3 %. Между тем, как показывает мировой опыт, для действенного стимулирования меценатства льготы должны составлять 5–10 %. В российском законодательстве льгота по налогу на прибыль в размере 5 % была введена с 1994 г., но только для пожертвований государственным организациям культуры, а также творческим союзам и благотворительным фондам, созданным для помощи и преодоления последствий аварии на Чернобыльской АЭС. 84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 конца 1995 г. правительство России пытается проводить политику сокращения налоговых льгот. В применении к НКО это выражается в отмене ряда льгот по налогообложению осуществляемой ими предпринимательской деятельности. Так, в 1993–1995 гг. библиотеки, музеи, филармонические коллективы были освобождены от налога на прибыль. С января 1996 г. действие этой льготы было ограничено только </w:t>
      </w:r>
      <w:r w:rsidRPr="00CA3AAE">
        <w:rPr>
          <w:rFonts w:ascii="Times New Roman" w:hAnsi="Times New Roman" w:cs="Times New Roman"/>
          <w:sz w:val="28"/>
          <w:szCs w:val="28"/>
        </w:rPr>
        <w:lastRenderedPageBreak/>
        <w:t xml:space="preserve">прибылью, полученной от основной деятельности данных учреждений, причем из их числа исключены негосударственные организации. В 1991-1995 гг. не облагалась налогом прибыль коммерческих организаций, находящихся в собственности благотворительных фондов и творческих союзов и направляемая на осуществление уставной деятельности данных некоммерческих организаций. С 1996 г. такая льгота оставалась только для предприятий, принадлежащих творческим союзам [7, С. 26–27]. В современных условиях меры по развитию инвестирования в ПНС со стороны государства, на наш взгляд, могли бы включать введение налоговых льгот для определенной части прибыли, направленной на инвестиции в ПНС в виде освобождения от части налогов в бюджеты разных уровней на сумму инвестиций в ПНС. По сути, в счет уплаты уже существующих налогов можно ввести целевые налоги на содержание конкретных объектов социальной сферы при участии производителей ПНС – НКО. Тем самым могла бы создаваться положительная мотивация и экономический интерес у инвесторов. Известно, что стремление скрывать доходы от налогообложения объясняется, в частности, недоверием налогоплательщиков к государству. Опасения, что чиновники растратят деньги без общественной пользы и налогоплательщики не получат необходимые им общественные блага, толкает последних к неуплате части налогов. Возможность увидеть непосредственный результат инвестиционной деятельности в виде ПНС усилит мотивацию платить налоги в специфической форме целевого инвестирования ПНС. Особые интересы могут быть у иностранных инвесторов – государств и благотворительных фондов. Поскольку вложения в ПНС не дают непосредственно прибыли, как на рынке обычных товаров, здесь также важна мотивация инвесторов. Мотивы зарубежных фондов и государств– </w:t>
      </w:r>
      <w:proofErr w:type="spellStart"/>
      <w:r w:rsidRPr="00CA3AAE">
        <w:rPr>
          <w:rFonts w:ascii="Times New Roman" w:hAnsi="Times New Roman" w:cs="Times New Roman"/>
          <w:sz w:val="28"/>
          <w:szCs w:val="28"/>
        </w:rPr>
        <w:t>грантодателей</w:t>
      </w:r>
      <w:proofErr w:type="spellEnd"/>
      <w:r w:rsidRPr="00CA3AAE">
        <w:rPr>
          <w:rFonts w:ascii="Times New Roman" w:hAnsi="Times New Roman" w:cs="Times New Roman"/>
          <w:sz w:val="28"/>
          <w:szCs w:val="28"/>
        </w:rPr>
        <w:t xml:space="preserve"> носят, скорее всего, политический и отчасти коммерческий характер: сформировать в странах бывшего СССР основы демократического антикоммунистического строя и выкачать стратегическую информацию экономического, технического, политического, социального и военного характера. Финансовые потоки в виде грантов от иностранных фондов стали иссякать к концу 90-х годов ХХ в., когда политические цели зарубежных магнатов (Сороса, Фордов и др.) в виде разрушения социалистической системы и создания в бывшем СССР основ демократического строя были достигнуты. 85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целом в 90-е годы объем правительственной помощи западных государств бедным странам сократился с 60 до 55 млрд. долл. в год. Вдвое больше, около 100 млрд., поступает по частным каналам. Наиболее щедры Дания, Голландия, Швеция, наиболее скупы США [2, С. 65]. Реализация ПНС ведется на стадии обращения (распределения и обмена) – второй стадии воспроизводства ПНС. </w:t>
      </w:r>
      <w:r w:rsidRPr="00CA3AAE">
        <w:rPr>
          <w:rFonts w:ascii="Times New Roman" w:hAnsi="Times New Roman" w:cs="Times New Roman"/>
          <w:i/>
          <w:iCs/>
          <w:sz w:val="28"/>
          <w:szCs w:val="28"/>
        </w:rPr>
        <w:t xml:space="preserve">Распределение </w:t>
      </w:r>
      <w:r w:rsidRPr="00CA3AAE">
        <w:rPr>
          <w:rFonts w:ascii="Times New Roman" w:hAnsi="Times New Roman" w:cs="Times New Roman"/>
          <w:sz w:val="28"/>
          <w:szCs w:val="28"/>
        </w:rPr>
        <w:t xml:space="preserve">трактуется как разделение произведенного продукта, дохода, прибыли на отдельные части, имеющие адресное назначение, предназначенные для передачи в отдельные фонды, отдельным лицам. Распределение – одна из стадий воспроизводственного цикла, следующая за производством продукта, созданием дохода. Различают операции первичного распределения, разделения доходов, непосредственно связанные с производственной деятельностью (заработная плата, косвенные налоги, взносы в фонд социального страхования); операции вторичного распределения, связанные с механизмом распределения первичных доходов (прямые налоги, дивиденды, субсидии, социальные выплаты). В централизованной экономике плановое распределение ресурсов, </w:t>
      </w:r>
      <w:r w:rsidRPr="00CA3AAE">
        <w:rPr>
          <w:rFonts w:ascii="Times New Roman" w:hAnsi="Times New Roman" w:cs="Times New Roman"/>
          <w:sz w:val="28"/>
          <w:szCs w:val="28"/>
        </w:rPr>
        <w:lastRenderedPageBreak/>
        <w:t xml:space="preserve">денежных средств, продукции служит обычно важнейшим инструментом управления экономикой. В рыночной экономике функции распределения принимает в основном на себя рынок, но частично они сохраняются за государством. Другая стадия воспроизводственного цикла </w:t>
      </w:r>
      <w:r w:rsidRPr="00CA3AAE">
        <w:rPr>
          <w:rFonts w:ascii="Times New Roman" w:hAnsi="Times New Roman" w:cs="Times New Roman"/>
          <w:i/>
          <w:iCs/>
          <w:sz w:val="28"/>
          <w:szCs w:val="28"/>
        </w:rPr>
        <w:t xml:space="preserve">обмен </w:t>
      </w:r>
      <w:r w:rsidRPr="00CA3AAE">
        <w:rPr>
          <w:rFonts w:ascii="Times New Roman" w:hAnsi="Times New Roman" w:cs="Times New Roman"/>
          <w:sz w:val="28"/>
          <w:szCs w:val="28"/>
        </w:rPr>
        <w:t xml:space="preserve">определяется как широко распространенная экономическая операция, состоящая в том, что одно лицо передает другому вещь, товар, получая взамен деньги либо другую вещь. На обычном рынке товаров и услуг эти стадии как виды экономических операций существуют раздельно. Основная масса товаров и услуг обменивается по рыночным принципам. Для существования рынка необходим целый ряд условий и предпосылок. Одним из важнейших является совпадение цены покупателя и цены продавца в виде равновесной цены. Если себестоимость товара выше общественно необходимых затрат, а значит, равновесной цены в условиях рынка совершенной конкуренции, а доходы потребителей будут недостаточны для покупки данного товара по рыночной цене, то значительная масса товаров и услуг просто не будет производиться и реализовываться на рынке. Рынок не способен покрыть издержки производства одних и дать достаточные доходы другим для покупки данных товаров.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Поэтому традиционно государство берет на себя функцию производства данных товаров в государственном секторе либо дотирует их производство частными производителями. Это могут быть товары индивидуального потребления и общественные блага, потребляемые всеми. Такие товары индивидуального потребления могут передаваться 86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потребителям исключительно через систему распределения ввиду их дефицита. Общественные товары, напротив, доступны всем без исключения. В основе </w:t>
      </w:r>
      <w:r w:rsidRPr="00CA3AAE">
        <w:rPr>
          <w:rFonts w:ascii="Times New Roman" w:hAnsi="Times New Roman" w:cs="Times New Roman"/>
          <w:i/>
          <w:iCs/>
          <w:sz w:val="28"/>
          <w:szCs w:val="28"/>
        </w:rPr>
        <w:t xml:space="preserve">модели обмена-распределения ПНС </w:t>
      </w:r>
      <w:r w:rsidRPr="00CA3AAE">
        <w:rPr>
          <w:rFonts w:ascii="Times New Roman" w:hAnsi="Times New Roman" w:cs="Times New Roman"/>
          <w:sz w:val="28"/>
          <w:szCs w:val="28"/>
        </w:rPr>
        <w:t>должна лежать модель рынка, соответствующая принципам неоклассической теории, скорректированная институциональными (</w:t>
      </w:r>
      <w:proofErr w:type="spellStart"/>
      <w:r w:rsidRPr="00CA3AAE">
        <w:rPr>
          <w:rFonts w:ascii="Times New Roman" w:hAnsi="Times New Roman" w:cs="Times New Roman"/>
          <w:sz w:val="28"/>
          <w:szCs w:val="28"/>
        </w:rPr>
        <w:t>нестоимостными</w:t>
      </w:r>
      <w:proofErr w:type="spellEnd"/>
      <w:r w:rsidRPr="00CA3AAE">
        <w:rPr>
          <w:rFonts w:ascii="Times New Roman" w:hAnsi="Times New Roman" w:cs="Times New Roman"/>
          <w:sz w:val="28"/>
          <w:szCs w:val="28"/>
        </w:rPr>
        <w:t xml:space="preserve">, нерыночными) факторами ввиду ограниченности возможности применения рыночных категорий к данному случаю. Методологический смысл данного подхода состоит в совмещении инструментов неоклассической теории, </w:t>
      </w:r>
      <w:proofErr w:type="spellStart"/>
      <w:r w:rsidRPr="00CA3AAE">
        <w:rPr>
          <w:rFonts w:ascii="Times New Roman" w:hAnsi="Times New Roman" w:cs="Times New Roman"/>
          <w:sz w:val="28"/>
          <w:szCs w:val="28"/>
        </w:rPr>
        <w:t>неоинституционализма</w:t>
      </w:r>
      <w:proofErr w:type="spellEnd"/>
      <w:r w:rsidRPr="00CA3AAE">
        <w:rPr>
          <w:rFonts w:ascii="Times New Roman" w:hAnsi="Times New Roman" w:cs="Times New Roman"/>
          <w:sz w:val="28"/>
          <w:szCs w:val="28"/>
        </w:rPr>
        <w:t xml:space="preserve"> и некоторых экономических и бухгалтерских методик, применяемых в практике работы предприятий. Мы введем несколько скорректированных для данного предмета исследования понятий: спрос на ПНС, предложение ПНС, общественная ценность ПНС и некоторые другие. </w:t>
      </w:r>
      <w:r w:rsidRPr="00CA3AAE">
        <w:rPr>
          <w:rFonts w:ascii="Times New Roman" w:hAnsi="Times New Roman" w:cs="Times New Roman"/>
          <w:i/>
          <w:iCs/>
          <w:sz w:val="28"/>
          <w:szCs w:val="28"/>
        </w:rPr>
        <w:t xml:space="preserve">Спрос на ПНС </w:t>
      </w:r>
      <w:r w:rsidRPr="00CA3AAE">
        <w:rPr>
          <w:rFonts w:ascii="Times New Roman" w:hAnsi="Times New Roman" w:cs="Times New Roman"/>
          <w:sz w:val="28"/>
          <w:szCs w:val="28"/>
        </w:rPr>
        <w:t xml:space="preserve">– это объем ПНС, который потребители (избиратели и др.) готовы приобрести на </w:t>
      </w:r>
      <w:proofErr w:type="spellStart"/>
      <w:r w:rsidRPr="00CA3AAE">
        <w:rPr>
          <w:rFonts w:ascii="Times New Roman" w:hAnsi="Times New Roman" w:cs="Times New Roman"/>
          <w:sz w:val="28"/>
          <w:szCs w:val="28"/>
        </w:rPr>
        <w:t>квазирынке</w:t>
      </w:r>
      <w:proofErr w:type="spellEnd"/>
      <w:r w:rsidRPr="00CA3AAE">
        <w:rPr>
          <w:rFonts w:ascii="Times New Roman" w:hAnsi="Times New Roman" w:cs="Times New Roman"/>
          <w:sz w:val="28"/>
          <w:szCs w:val="28"/>
        </w:rPr>
        <w:t xml:space="preserve"> ПНС при данном уровне общественной ценности ПНС в обмен на общественно полезную деятельность. Аналогично товарному рынку спрос имеет нижнюю границу в объеме спроса, связанную с ценой </w:t>
      </w:r>
      <w:proofErr w:type="spellStart"/>
      <w:r w:rsidRPr="00CA3AAE">
        <w:rPr>
          <w:rFonts w:ascii="Times New Roman" w:hAnsi="Times New Roman" w:cs="Times New Roman"/>
          <w:sz w:val="28"/>
          <w:szCs w:val="28"/>
        </w:rPr>
        <w:t>Рmax</w:t>
      </w:r>
      <w:proofErr w:type="spellEnd"/>
      <w:r w:rsidRPr="00CA3AAE">
        <w:rPr>
          <w:rFonts w:ascii="Times New Roman" w:hAnsi="Times New Roman" w:cs="Times New Roman"/>
          <w:sz w:val="28"/>
          <w:szCs w:val="28"/>
        </w:rPr>
        <w:t xml:space="preserve"> (цена бойкота), определяемой покупательной способностью потребителя и его субъективной оценкой полезности ПНС. Спрос на обычном товарном рынке определяется потребностью и платежеспособностью потребителя. Однако в данном случае, при отсутствии платного характера обмена, </w:t>
      </w:r>
      <w:proofErr w:type="gramStart"/>
      <w:r w:rsidRPr="00CA3AAE">
        <w:rPr>
          <w:rFonts w:ascii="Times New Roman" w:hAnsi="Times New Roman" w:cs="Times New Roman"/>
          <w:sz w:val="28"/>
          <w:szCs w:val="28"/>
        </w:rPr>
        <w:t>например</w:t>
      </w:r>
      <w:proofErr w:type="gramEnd"/>
      <w:r w:rsidRPr="00CA3AAE">
        <w:rPr>
          <w:rFonts w:ascii="Times New Roman" w:hAnsi="Times New Roman" w:cs="Times New Roman"/>
          <w:sz w:val="28"/>
          <w:szCs w:val="28"/>
        </w:rPr>
        <w:t xml:space="preserve"> при оказании благотворительной помощи, эквивалентности обмена в экономическом смысле не существует. Поэтому снижение кривой спроса на ПННД при снижении цены нельзя объяснить эффектом замещения и эффектом дохода, как это делается экономической теорией для товарного рынка. </w:t>
      </w:r>
      <w:r w:rsidRPr="00CA3AAE">
        <w:rPr>
          <w:rFonts w:ascii="Times New Roman" w:hAnsi="Times New Roman" w:cs="Times New Roman"/>
          <w:i/>
          <w:iCs/>
          <w:sz w:val="28"/>
          <w:szCs w:val="28"/>
        </w:rPr>
        <w:t xml:space="preserve">Закон спроса ПНС </w:t>
      </w:r>
      <w:r w:rsidRPr="00CA3AAE">
        <w:rPr>
          <w:rFonts w:ascii="Times New Roman" w:hAnsi="Times New Roman" w:cs="Times New Roman"/>
          <w:sz w:val="28"/>
          <w:szCs w:val="28"/>
        </w:rPr>
        <w:t xml:space="preserve">может быть сформулирован следующим образом: величина спроса на ПННД, обратно пропорциональная общественной ценности ПНС, имеет нижнюю </w:t>
      </w:r>
      <w:r w:rsidRPr="00CA3AAE">
        <w:rPr>
          <w:rFonts w:ascii="Times New Roman" w:hAnsi="Times New Roman" w:cs="Times New Roman"/>
          <w:sz w:val="28"/>
          <w:szCs w:val="28"/>
        </w:rPr>
        <w:lastRenderedPageBreak/>
        <w:t xml:space="preserve">границу, определяемую возможностями потребителя, и верхнюю границу, определяемую насыщением потребности и снижением предельной полезности ПНС [13, С. 131–132]. При снижении общественной ценности ПНС, а значит, необходимости для потребителя отдавать воспроизводству ПНС адекватную долю своего участия, спрос на него первоначально будет расти. Однако по мере потребления все новых единиц ПНС и снижения их предельной полезности, прямо пропорциональной их общественной ценности, будет наступать предел насыщения. Этим обусловлено существование верхней границы спроса.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Нижняя граница спроса ПНС (спрос на одну единицу ПНС) 87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аналогична цене бойкота покупателя, которая зависит от финансовых возможностей покупателя и его субъективной оценки качества товара. Применительно к ПННД это означает ограничение возможностей потребителя ПНС вносить хотя бы относительно эквивалентный вклад в процесс воспроизводства ПННД, аналогичный уплате денег за обычный товар. Данный вклад потребителей ПННД в процесс воспроизводства ПННД может заключаться в следующем: волонтерском труде при создании ПННД; символической плате за ПННД; способности потребителя удовлетворить определенные духовные потребности производителя ПННД. Верхняя граница спроса определяется степенью насыщения потребности в данном ПННД. Как верхняя, так и нижняя границы в спросе на ПННД определяются субъективно каждым его потребителем. </w:t>
      </w:r>
      <w:r w:rsidRPr="00CA3AAE">
        <w:rPr>
          <w:rFonts w:ascii="Times New Roman" w:hAnsi="Times New Roman" w:cs="Times New Roman"/>
          <w:i/>
          <w:iCs/>
          <w:sz w:val="28"/>
          <w:szCs w:val="28"/>
        </w:rPr>
        <w:t xml:space="preserve">Предложение ПНС </w:t>
      </w:r>
      <w:r w:rsidRPr="00CA3AAE">
        <w:rPr>
          <w:rFonts w:ascii="Times New Roman" w:hAnsi="Times New Roman" w:cs="Times New Roman"/>
          <w:sz w:val="28"/>
          <w:szCs w:val="28"/>
        </w:rPr>
        <w:t xml:space="preserve">соответственно – это количество единиц ПНС определенного вида, которое производитель готов предложить нуждающимся членам общества при данном уровне общественной ценности ПНС и прочих равных условиях, включая его финансовые и прочие экономические возможности. </w:t>
      </w:r>
      <w:r w:rsidRPr="00CA3AAE">
        <w:rPr>
          <w:rFonts w:ascii="Times New Roman" w:hAnsi="Times New Roman" w:cs="Times New Roman"/>
          <w:i/>
          <w:iCs/>
          <w:sz w:val="28"/>
          <w:szCs w:val="28"/>
        </w:rPr>
        <w:t xml:space="preserve">Закон предложения ПНС </w:t>
      </w:r>
      <w:r w:rsidRPr="00CA3AAE">
        <w:rPr>
          <w:rFonts w:ascii="Times New Roman" w:hAnsi="Times New Roman" w:cs="Times New Roman"/>
          <w:sz w:val="28"/>
          <w:szCs w:val="28"/>
        </w:rPr>
        <w:t xml:space="preserve">звучит так: объем предложения ПНС, прямо пропорциональный его общественной ценности, имеет верхнюю границу, обусловленную материальными возможностями производителя и инвестора ПНС. </w:t>
      </w:r>
      <w:proofErr w:type="spellStart"/>
      <w:r w:rsidRPr="00CA3AAE">
        <w:rPr>
          <w:rFonts w:ascii="Times New Roman" w:hAnsi="Times New Roman" w:cs="Times New Roman"/>
          <w:sz w:val="28"/>
          <w:szCs w:val="28"/>
        </w:rPr>
        <w:t>Квазицена</w:t>
      </w:r>
      <w:proofErr w:type="spellEnd"/>
      <w:r w:rsidRPr="00CA3AAE">
        <w:rPr>
          <w:rFonts w:ascii="Times New Roman" w:hAnsi="Times New Roman" w:cs="Times New Roman"/>
          <w:sz w:val="28"/>
          <w:szCs w:val="28"/>
        </w:rPr>
        <w:t xml:space="preserve"> и общественная ценность ПНС с трудом поддаются финансовой оценке. Понятие </w:t>
      </w:r>
      <w:proofErr w:type="spellStart"/>
      <w:r w:rsidRPr="00CA3AAE">
        <w:rPr>
          <w:rFonts w:ascii="Times New Roman" w:hAnsi="Times New Roman" w:cs="Times New Roman"/>
          <w:i/>
          <w:iCs/>
          <w:sz w:val="28"/>
          <w:szCs w:val="28"/>
        </w:rPr>
        <w:t>квазицены</w:t>
      </w:r>
      <w:proofErr w:type="spellEnd"/>
      <w:r w:rsidRPr="00CA3AAE">
        <w:rPr>
          <w:rFonts w:ascii="Times New Roman" w:hAnsi="Times New Roman" w:cs="Times New Roman"/>
          <w:i/>
          <w:iCs/>
          <w:sz w:val="28"/>
          <w:szCs w:val="28"/>
        </w:rPr>
        <w:t xml:space="preserve"> ПНС </w:t>
      </w:r>
      <w:r w:rsidRPr="00CA3AAE">
        <w:rPr>
          <w:rFonts w:ascii="Times New Roman" w:hAnsi="Times New Roman" w:cs="Times New Roman"/>
          <w:sz w:val="28"/>
          <w:szCs w:val="28"/>
        </w:rPr>
        <w:t xml:space="preserve">аналогично (хотя и не равнозначно) понятию цены на обычном товарном рынке. Она определяется взаимодействием величины затрат производителя и полезностью ПНС. </w:t>
      </w:r>
      <w:r w:rsidRPr="00CA3AAE">
        <w:rPr>
          <w:rFonts w:ascii="Times New Roman" w:hAnsi="Times New Roman" w:cs="Times New Roman"/>
          <w:i/>
          <w:iCs/>
          <w:sz w:val="28"/>
          <w:szCs w:val="28"/>
        </w:rPr>
        <w:t xml:space="preserve">Общественная ценность ПНС </w:t>
      </w:r>
      <w:r w:rsidRPr="00CA3AAE">
        <w:rPr>
          <w:rFonts w:ascii="Times New Roman" w:hAnsi="Times New Roman" w:cs="Times New Roman"/>
          <w:sz w:val="28"/>
          <w:szCs w:val="28"/>
        </w:rPr>
        <w:t xml:space="preserve">равна совокупности экономических издержек его производства, </w:t>
      </w:r>
      <w:proofErr w:type="spellStart"/>
      <w:r w:rsidRPr="00CA3AAE">
        <w:rPr>
          <w:rFonts w:ascii="Times New Roman" w:hAnsi="Times New Roman" w:cs="Times New Roman"/>
          <w:sz w:val="28"/>
          <w:szCs w:val="28"/>
        </w:rPr>
        <w:t>квазиприбыли</w:t>
      </w:r>
      <w:proofErr w:type="spellEnd"/>
      <w:r w:rsidRPr="00CA3AAE">
        <w:rPr>
          <w:rFonts w:ascii="Times New Roman" w:hAnsi="Times New Roman" w:cs="Times New Roman"/>
          <w:sz w:val="28"/>
          <w:szCs w:val="28"/>
        </w:rPr>
        <w:t xml:space="preserve"> и внешних эффектов, сопровождающих воспроизводство ПНС в целом [13, С. 132–133]. Положительные эффекты увеличивают общественную ценность ПНС, а отрицательные соответственно ее снижают. Внутренние положительные эффекты получают производители в виде </w:t>
      </w:r>
      <w:proofErr w:type="spellStart"/>
      <w:r w:rsidRPr="00CA3AAE">
        <w:rPr>
          <w:rFonts w:ascii="Times New Roman" w:hAnsi="Times New Roman" w:cs="Times New Roman"/>
          <w:sz w:val="28"/>
          <w:szCs w:val="28"/>
        </w:rPr>
        <w:t>нефакторных</w:t>
      </w:r>
      <w:proofErr w:type="spellEnd"/>
      <w:r w:rsidRPr="00CA3AAE">
        <w:rPr>
          <w:rFonts w:ascii="Times New Roman" w:hAnsi="Times New Roman" w:cs="Times New Roman"/>
          <w:sz w:val="28"/>
          <w:szCs w:val="28"/>
        </w:rPr>
        <w:t xml:space="preserve"> доходов, а потребители ПНС – в виде как факторных, так и </w:t>
      </w:r>
      <w:proofErr w:type="spellStart"/>
      <w:r w:rsidRPr="00CA3AAE">
        <w:rPr>
          <w:rFonts w:ascii="Times New Roman" w:hAnsi="Times New Roman" w:cs="Times New Roman"/>
          <w:sz w:val="28"/>
          <w:szCs w:val="28"/>
        </w:rPr>
        <w:t>нефакторных</w:t>
      </w:r>
      <w:proofErr w:type="spellEnd"/>
      <w:r w:rsidRPr="00CA3AAE">
        <w:rPr>
          <w:rFonts w:ascii="Times New Roman" w:hAnsi="Times New Roman" w:cs="Times New Roman"/>
          <w:sz w:val="28"/>
          <w:szCs w:val="28"/>
        </w:rPr>
        <w:t xml:space="preserve"> доходов. Эффекты от воспроизводства ПНС могут быть как краткосрочными, так и долгосрочными.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От общественной ценности ПНС, т.е.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ПНС с учетом положительных или отрицательных внешних эффектов, следует отличать </w:t>
      </w:r>
      <w:proofErr w:type="spellStart"/>
      <w:r w:rsidRPr="00CA3AAE">
        <w:rPr>
          <w:rFonts w:ascii="Times New Roman" w:hAnsi="Times New Roman" w:cs="Times New Roman"/>
          <w:i/>
          <w:iCs/>
          <w:sz w:val="28"/>
          <w:szCs w:val="28"/>
        </w:rPr>
        <w:t>квазирыночную</w:t>
      </w:r>
      <w:proofErr w:type="spellEnd"/>
      <w:r w:rsidRPr="00CA3AAE">
        <w:rPr>
          <w:rFonts w:ascii="Times New Roman" w:hAnsi="Times New Roman" w:cs="Times New Roman"/>
          <w:i/>
          <w:iCs/>
          <w:sz w:val="28"/>
          <w:szCs w:val="28"/>
        </w:rPr>
        <w:t xml:space="preserve"> цену ПНС </w:t>
      </w:r>
      <w:r w:rsidRPr="00CA3AAE">
        <w:rPr>
          <w:rFonts w:ascii="Times New Roman" w:hAnsi="Times New Roman" w:cs="Times New Roman"/>
          <w:sz w:val="28"/>
          <w:szCs w:val="28"/>
        </w:rPr>
        <w:t xml:space="preserve">(или </w:t>
      </w:r>
      <w:proofErr w:type="spellStart"/>
      <w:r w:rsidRPr="00CA3AAE">
        <w:rPr>
          <w:rFonts w:ascii="Times New Roman" w:hAnsi="Times New Roman" w:cs="Times New Roman"/>
          <w:i/>
          <w:iCs/>
          <w:sz w:val="28"/>
          <w:szCs w:val="28"/>
        </w:rPr>
        <w:t>квазицену</w:t>
      </w:r>
      <w:proofErr w:type="spellEnd"/>
      <w:r w:rsidRPr="00CA3AAE">
        <w:rPr>
          <w:rFonts w:ascii="Times New Roman" w:hAnsi="Times New Roman" w:cs="Times New Roman"/>
          <w:i/>
          <w:iCs/>
          <w:sz w:val="28"/>
          <w:szCs w:val="28"/>
        </w:rPr>
        <w:t xml:space="preserve"> ПНС</w:t>
      </w:r>
      <w:r w:rsidRPr="00CA3AAE">
        <w:rPr>
          <w:rFonts w:ascii="Times New Roman" w:hAnsi="Times New Roman" w:cs="Times New Roman"/>
          <w:sz w:val="28"/>
          <w:szCs w:val="28"/>
        </w:rPr>
        <w:t xml:space="preserve">), которая является аналогом рыночной цены. </w:t>
      </w:r>
      <w:proofErr w:type="spellStart"/>
      <w:r w:rsidRPr="00CA3AAE">
        <w:rPr>
          <w:rFonts w:ascii="Times New Roman" w:hAnsi="Times New Roman" w:cs="Times New Roman"/>
          <w:sz w:val="28"/>
          <w:szCs w:val="28"/>
        </w:rPr>
        <w:t>Квазирыночная</w:t>
      </w:r>
      <w:proofErr w:type="spellEnd"/>
      <w:r w:rsidRPr="00CA3AAE">
        <w:rPr>
          <w:rFonts w:ascii="Times New Roman" w:hAnsi="Times New Roman" w:cs="Times New Roman"/>
          <w:sz w:val="28"/>
          <w:szCs w:val="28"/>
        </w:rPr>
        <w:t xml:space="preserve"> цена ПНС может быть в форме равновесной либо неравновесной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ПНС, т.е. в ситуации равенства либо неравенства спроса и предложения ПНС. Эквивалентом 88 </w:t>
      </w:r>
    </w:p>
    <w:p w:rsidR="00CA3AAE" w:rsidRPr="00CA3AAE" w:rsidRDefault="00CA3AAE" w:rsidP="00CA3AAE">
      <w:pPr>
        <w:pStyle w:val="a3"/>
        <w:ind w:left="-993"/>
        <w:jc w:val="both"/>
        <w:rPr>
          <w:rFonts w:ascii="Times New Roman" w:hAnsi="Times New Roman" w:cs="Times New Roman"/>
          <w:sz w:val="28"/>
          <w:szCs w:val="28"/>
        </w:rPr>
      </w:pP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ПНС, уплачиваемым за ПНС потребителем, является сумма его усилий и другими ресурсов (время, деньги и т.п.), которые он затрачивает для приобретения непосредственно ПНС либо права на его получение в будущем. Общественная ценность ПННД не включает в себя политическую ренту, как имеет место в случае с </w:t>
      </w:r>
      <w:r w:rsidRPr="00CA3AAE">
        <w:rPr>
          <w:rFonts w:ascii="Times New Roman" w:hAnsi="Times New Roman" w:cs="Times New Roman"/>
          <w:sz w:val="28"/>
          <w:szCs w:val="28"/>
        </w:rPr>
        <w:lastRenderedPageBreak/>
        <w:t xml:space="preserve">ППД. Однако, эффект, получаемый от потребления ПННД, дает его производителю общественный авторитет, который также может быть реинвестирован в новый воспроизводственный цикл ПННД. Пользуясь им, можно и дальше получать материальные и иные инвестиции в производство ПННД или ППД. Последнее возможно при желании лидера НКО заниматься политикой. Поэтому </w:t>
      </w:r>
      <w:proofErr w:type="spellStart"/>
      <w:r w:rsidRPr="00CA3AAE">
        <w:rPr>
          <w:rFonts w:ascii="Times New Roman" w:hAnsi="Times New Roman" w:cs="Times New Roman"/>
          <w:i/>
          <w:iCs/>
          <w:sz w:val="28"/>
          <w:szCs w:val="28"/>
        </w:rPr>
        <w:t>квазиприбыль</w:t>
      </w:r>
      <w:proofErr w:type="spellEnd"/>
      <w:r w:rsidRPr="00CA3AAE">
        <w:rPr>
          <w:rFonts w:ascii="Times New Roman" w:hAnsi="Times New Roman" w:cs="Times New Roman"/>
          <w:i/>
          <w:iCs/>
          <w:sz w:val="28"/>
          <w:szCs w:val="28"/>
        </w:rPr>
        <w:t xml:space="preserve"> для ПННД </w:t>
      </w:r>
      <w:r w:rsidRPr="00CA3AAE">
        <w:rPr>
          <w:rFonts w:ascii="Times New Roman" w:hAnsi="Times New Roman" w:cs="Times New Roman"/>
          <w:sz w:val="28"/>
          <w:szCs w:val="28"/>
        </w:rPr>
        <w:t xml:space="preserve">имеет специфику по сравнению со случаем ППД. Она может иметь меньший общественный, в том числе, политический эффект и часто рассматривается как определенное условие для производства ПННД и получения уже в дальнейшем политической </w:t>
      </w:r>
      <w:proofErr w:type="spellStart"/>
      <w:r w:rsidRPr="00CA3AAE">
        <w:rPr>
          <w:rFonts w:ascii="Times New Roman" w:hAnsi="Times New Roman" w:cs="Times New Roman"/>
          <w:sz w:val="28"/>
          <w:szCs w:val="28"/>
        </w:rPr>
        <w:t>квазиприбыли</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Квазиприбыль</w:t>
      </w:r>
      <w:proofErr w:type="spellEnd"/>
      <w:r w:rsidRPr="00CA3AAE">
        <w:rPr>
          <w:rFonts w:ascii="Times New Roman" w:hAnsi="Times New Roman" w:cs="Times New Roman"/>
          <w:sz w:val="28"/>
          <w:szCs w:val="28"/>
        </w:rPr>
        <w:t xml:space="preserve"> у ПНС может увеличиваться при значительных положительных </w:t>
      </w:r>
      <w:proofErr w:type="spellStart"/>
      <w:r w:rsidRPr="00CA3AAE">
        <w:rPr>
          <w:rFonts w:ascii="Times New Roman" w:hAnsi="Times New Roman" w:cs="Times New Roman"/>
          <w:sz w:val="28"/>
          <w:szCs w:val="28"/>
        </w:rPr>
        <w:t>экстерналиях</w:t>
      </w:r>
      <w:proofErr w:type="spellEnd"/>
      <w:r w:rsidRPr="00CA3AAE">
        <w:rPr>
          <w:rFonts w:ascii="Times New Roman" w:hAnsi="Times New Roman" w:cs="Times New Roman"/>
          <w:sz w:val="28"/>
          <w:szCs w:val="28"/>
        </w:rPr>
        <w:t xml:space="preserve">, что должно повышать общественный авторитет производителей ПНС. Общественная ценность ПНС будет иметь влияние на формирование </w:t>
      </w:r>
      <w:proofErr w:type="spellStart"/>
      <w:r w:rsidRPr="00CA3AAE">
        <w:rPr>
          <w:rFonts w:ascii="Times New Roman" w:hAnsi="Times New Roman" w:cs="Times New Roman"/>
          <w:i/>
          <w:iCs/>
          <w:sz w:val="28"/>
          <w:szCs w:val="28"/>
        </w:rPr>
        <w:t>квазицены</w:t>
      </w:r>
      <w:proofErr w:type="spellEnd"/>
      <w:r w:rsidRPr="00CA3AAE">
        <w:rPr>
          <w:rFonts w:ascii="Times New Roman" w:hAnsi="Times New Roman" w:cs="Times New Roman"/>
          <w:i/>
          <w:iCs/>
          <w:sz w:val="28"/>
          <w:szCs w:val="28"/>
        </w:rPr>
        <w:t xml:space="preserve"> ПНС, </w:t>
      </w:r>
      <w:r w:rsidRPr="00CA3AAE">
        <w:rPr>
          <w:rFonts w:ascii="Times New Roman" w:hAnsi="Times New Roman" w:cs="Times New Roman"/>
          <w:sz w:val="28"/>
          <w:szCs w:val="28"/>
        </w:rPr>
        <w:t xml:space="preserve">хотя и не сравняется с ней. Равновесная </w:t>
      </w:r>
      <w:proofErr w:type="spellStart"/>
      <w:r w:rsidRPr="00CA3AAE">
        <w:rPr>
          <w:rFonts w:ascii="Times New Roman" w:hAnsi="Times New Roman" w:cs="Times New Roman"/>
          <w:sz w:val="28"/>
          <w:szCs w:val="28"/>
        </w:rPr>
        <w:t>квазицена</w:t>
      </w:r>
      <w:proofErr w:type="spellEnd"/>
      <w:r w:rsidRPr="00CA3AAE">
        <w:rPr>
          <w:rFonts w:ascii="Times New Roman" w:hAnsi="Times New Roman" w:cs="Times New Roman"/>
          <w:sz w:val="28"/>
          <w:szCs w:val="28"/>
        </w:rPr>
        <w:t xml:space="preserve"> на рынке ПНС в своей видимой форме будет определяться взаимодействием спроса и предложения. Здесь можно попытаться применить наработки неоклассической и институциональной теорий. Предложение ПНС определяется в первую очередь издержками производства. Однако издержки определяют скорее не нижнюю границу цены </w:t>
      </w:r>
      <w:proofErr w:type="spellStart"/>
      <w:r w:rsidRPr="00CA3AAE">
        <w:rPr>
          <w:rFonts w:ascii="Times New Roman" w:hAnsi="Times New Roman" w:cs="Times New Roman"/>
          <w:sz w:val="28"/>
          <w:szCs w:val="28"/>
        </w:rPr>
        <w:t>Pmin</w:t>
      </w:r>
      <w:proofErr w:type="spellEnd"/>
      <w:r w:rsidRPr="00CA3AAE">
        <w:rPr>
          <w:rFonts w:ascii="Times New Roman" w:hAnsi="Times New Roman" w:cs="Times New Roman"/>
          <w:sz w:val="28"/>
          <w:szCs w:val="28"/>
        </w:rPr>
        <w:t>, цену предложения, а верхнюю границу (</w:t>
      </w:r>
      <w:proofErr w:type="spellStart"/>
      <w:r w:rsidRPr="00CA3AAE">
        <w:rPr>
          <w:rFonts w:ascii="Times New Roman" w:hAnsi="Times New Roman" w:cs="Times New Roman"/>
          <w:sz w:val="28"/>
          <w:szCs w:val="28"/>
        </w:rPr>
        <w:t>Pmax</w:t>
      </w:r>
      <w:proofErr w:type="spellEnd"/>
      <w:r w:rsidRPr="00CA3AAE">
        <w:rPr>
          <w:rFonts w:ascii="Times New Roman" w:hAnsi="Times New Roman" w:cs="Times New Roman"/>
          <w:sz w:val="28"/>
          <w:szCs w:val="28"/>
        </w:rPr>
        <w:t xml:space="preserve">), обусловленную материальными возможностями производителя и инвестора ПНС. Это относится в первую очередь к производству ПННД. Поэтому возрастание общественной ценности и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ПННД первоначально вызывает интерес у производителей и инвесторов увеличить производство ПННД, однако ввиду затратного и непосредственно (в данном цикле воспроизводства) </w:t>
      </w:r>
      <w:proofErr w:type="spellStart"/>
      <w:r w:rsidRPr="00CA3AAE">
        <w:rPr>
          <w:rFonts w:ascii="Times New Roman" w:hAnsi="Times New Roman" w:cs="Times New Roman"/>
          <w:sz w:val="28"/>
          <w:szCs w:val="28"/>
        </w:rPr>
        <w:t>неокупаемого</w:t>
      </w:r>
      <w:proofErr w:type="spellEnd"/>
      <w:r w:rsidRPr="00CA3AAE">
        <w:rPr>
          <w:rFonts w:ascii="Times New Roman" w:hAnsi="Times New Roman" w:cs="Times New Roman"/>
          <w:sz w:val="28"/>
          <w:szCs w:val="28"/>
        </w:rPr>
        <w:t xml:space="preserve"> в финансовом плане характера производства ПННД ставит верхнюю границу его производства.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Применимость неоклассических понятий к теории ПНС подтверждается сходством ПНС и общественных благ. Спрос на общественные блага зависит от готовности потребителей платить за них. Он выявляется косвенно с помощью механизма общественного выбора, избирателей-налогоплательщиков, общественных опросов, коллективных договоренностей потребителей, а также метода аналогии с рыночными ценами. Поэтому предельную полезность общественного блага можно рассматривать как готовность людей всех вместе заплатить за дополнительную единицу общественного блага. Равновесный объем 89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общественных благ будет находиться на пересечении предельной полезности (предельных выгод) общественных благ с предельными затратами на них [4, С. 40–41]. Приравнивая, как это обычно делается, предельную полезность ПНС к спросу на ПНС, а предельные затраты на производство ПНС к предложению ПНС, мы получим равновесный объем ПНС в точке равенства спроса и предложения. Помимо неоклассической теории равновесной цены к оценке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ПННД можно привлечь и методики, применяемые в практике ценообразования на уровне предприятий, например, </w:t>
      </w:r>
      <w:r w:rsidRPr="00CA3AAE">
        <w:rPr>
          <w:rFonts w:ascii="Times New Roman" w:hAnsi="Times New Roman" w:cs="Times New Roman"/>
          <w:i/>
          <w:iCs/>
          <w:sz w:val="28"/>
          <w:szCs w:val="28"/>
        </w:rPr>
        <w:t>методику альтернативной оценки</w:t>
      </w:r>
      <w:r w:rsidRPr="00CA3AAE">
        <w:rPr>
          <w:rFonts w:ascii="Times New Roman" w:hAnsi="Times New Roman" w:cs="Times New Roman"/>
          <w:sz w:val="28"/>
          <w:szCs w:val="28"/>
        </w:rPr>
        <w:t xml:space="preserve">. Суть ее состоит в том, что ПННД часто имеет аналоги – общественные товары, выпускаемые государством. Зная структуру себестоимости и цен на аналоги и некоторые фактические данные по издержкам на производство ПННД, можно </w:t>
      </w:r>
      <w:proofErr w:type="gramStart"/>
      <w:r w:rsidRPr="00CA3AAE">
        <w:rPr>
          <w:rFonts w:ascii="Times New Roman" w:hAnsi="Times New Roman" w:cs="Times New Roman"/>
          <w:sz w:val="28"/>
          <w:szCs w:val="28"/>
        </w:rPr>
        <w:t>определить</w:t>
      </w:r>
      <w:proofErr w:type="gramEnd"/>
      <w:r w:rsidRPr="00CA3AAE">
        <w:rPr>
          <w:rFonts w:ascii="Times New Roman" w:hAnsi="Times New Roman" w:cs="Times New Roman"/>
          <w:sz w:val="28"/>
          <w:szCs w:val="28"/>
        </w:rPr>
        <w:t xml:space="preserve"> как примерную величину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ПННД, так и величину составляющих ее частей. Так, например, учитывая, что доля фонда оплаты труда (ФОТ) в стоимости выпускаемой продукции в России составляет примерно 20-25 %, можно по величине начисленной заработной платы в </w:t>
      </w:r>
      <w:r w:rsidRPr="00CA3AAE">
        <w:rPr>
          <w:rFonts w:ascii="Times New Roman" w:hAnsi="Times New Roman" w:cs="Times New Roman"/>
          <w:sz w:val="28"/>
          <w:szCs w:val="28"/>
        </w:rPr>
        <w:lastRenderedPageBreak/>
        <w:t xml:space="preserve">общественных организациях определить примерную </w:t>
      </w:r>
      <w:proofErr w:type="spellStart"/>
      <w:r w:rsidRPr="00CA3AAE">
        <w:rPr>
          <w:rFonts w:ascii="Times New Roman" w:hAnsi="Times New Roman" w:cs="Times New Roman"/>
          <w:sz w:val="28"/>
          <w:szCs w:val="28"/>
        </w:rPr>
        <w:t>квазицену</w:t>
      </w:r>
      <w:proofErr w:type="spellEnd"/>
      <w:r w:rsidRPr="00CA3AAE">
        <w:rPr>
          <w:rFonts w:ascii="Times New Roman" w:hAnsi="Times New Roman" w:cs="Times New Roman"/>
          <w:sz w:val="28"/>
          <w:szCs w:val="28"/>
        </w:rPr>
        <w:t xml:space="preserve"> ПННД. При этом необходимо учесть, что доля ФОТ в себестоимости услуги обычно больше, чем в себестоимости товара [13, С. 137]. </w:t>
      </w:r>
      <w:r w:rsidRPr="00CA3AAE">
        <w:rPr>
          <w:rFonts w:ascii="Times New Roman" w:hAnsi="Times New Roman" w:cs="Times New Roman"/>
          <w:i/>
          <w:iCs/>
          <w:sz w:val="28"/>
          <w:szCs w:val="28"/>
        </w:rPr>
        <w:t xml:space="preserve">Совокупная выручка от ППД, </w:t>
      </w:r>
      <w:r w:rsidRPr="00CA3AAE">
        <w:rPr>
          <w:rFonts w:ascii="Times New Roman" w:hAnsi="Times New Roman" w:cs="Times New Roman"/>
          <w:sz w:val="28"/>
          <w:szCs w:val="28"/>
        </w:rPr>
        <w:t xml:space="preserve">полученная партией на выборах, может формально при первой оценке выражаться в числе голосов избирателей, поданных за партию, а в дальнейшем она должна выразиться во всей совокупности благ, полученных партией после прихода к власти, включая затраты на производство ППД. В случае достижения партией цели своего производственного процесса </w:t>
      </w:r>
      <w:proofErr w:type="spellStart"/>
      <w:r w:rsidRPr="00CA3AAE">
        <w:rPr>
          <w:rFonts w:ascii="Times New Roman" w:hAnsi="Times New Roman" w:cs="Times New Roman"/>
          <w:sz w:val="28"/>
          <w:szCs w:val="28"/>
        </w:rPr>
        <w:t>квазиприбыль</w:t>
      </w:r>
      <w:proofErr w:type="spellEnd"/>
      <w:r w:rsidRPr="00CA3AAE">
        <w:rPr>
          <w:rFonts w:ascii="Times New Roman" w:hAnsi="Times New Roman" w:cs="Times New Roman"/>
          <w:sz w:val="28"/>
          <w:szCs w:val="28"/>
        </w:rPr>
        <w:t xml:space="preserve"> от ППД должна выражаться, на наш взгляд, в получении производителями ППД ресурса политической власти, в росте их политического авторитета. Все эти блага имеют способность быть повторно инвестированными в политическую деятельность, подобно обычной прибыли. Ресурс власти («административный ресурс») дает возможность прошедшим в органы власти представителям партий или иных структур лоббировать интересы организаций, которые они представляют, и получать для них значительное бюджетное или частное благотворительное финансирование. После стадии обращения ПНС попадает в распоряжение потребителя, в роли которого могут выступать нуждающиеся домохозяйства, отдельные НКО, коммерческие организации, иногда органы государственной власти и зарубежные организации. Особенность состоит в том, что ПНС является услугой и поэтому потребляться может обычно только целевым образом, т.е. в соответствии с его назначением. 90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Традиционно различают производственное и непроизводственное потребление. Потребление в воспроизводственном цикле продукта некоммерческого сектора, который является по отношению к потреблению вышележащей системой, выполняет следующие основные функции: 1) удовлетворение основной массы частных и части всеобщих интересов членов гражданского общества – домохозяйств через обеспечение их факторных и </w:t>
      </w:r>
      <w:proofErr w:type="spellStart"/>
      <w:r w:rsidRPr="00CA3AAE">
        <w:rPr>
          <w:rFonts w:ascii="Times New Roman" w:hAnsi="Times New Roman" w:cs="Times New Roman"/>
          <w:sz w:val="28"/>
          <w:szCs w:val="28"/>
        </w:rPr>
        <w:t>нефакторных</w:t>
      </w:r>
      <w:proofErr w:type="spellEnd"/>
      <w:r w:rsidRPr="00CA3AAE">
        <w:rPr>
          <w:rFonts w:ascii="Times New Roman" w:hAnsi="Times New Roman" w:cs="Times New Roman"/>
          <w:sz w:val="28"/>
          <w:szCs w:val="28"/>
        </w:rPr>
        <w:t xml:space="preserve"> доходов;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2) удовлетворение потребности некоммерческих объединений в ресурсах, необходимых для производства ПНС;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3) снижение социальной напряженности, стабилизация общественной системы. </w:t>
      </w:r>
    </w:p>
    <w:p w:rsidR="00CA3AAE" w:rsidRPr="00CA3AAE" w:rsidRDefault="00CA3AAE" w:rsidP="00CA3AAE">
      <w:pPr>
        <w:pStyle w:val="a3"/>
        <w:ind w:left="-993"/>
        <w:jc w:val="both"/>
        <w:rPr>
          <w:rFonts w:ascii="Times New Roman" w:hAnsi="Times New Roman" w:cs="Times New Roman"/>
          <w:sz w:val="28"/>
          <w:szCs w:val="28"/>
        </w:rPr>
      </w:pP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Потребителя ПНС и потребителя рыночных товаров сближают следующие моменты: 1. Сходство потребностей. Многие потребности способны удовлетворяться как рыночными товарами, так и ПНС. Это касается всех материальных и значительной части духовных потребностей. Лишь часть духовных потребностей, удовлетворяемых традиционно частным образом (в любви, уважении, дружбе и т.п.), не могут реализовываться на коммерческих условиях. 2. Общая цель – максимизация полезности. Потребность насыщается через процесс потребления. Потребление – это процесс усвоения полезности. 3. Общий механизм удовлетворения потребности. Типичный (средний) потребитель ПНС должен иметь следующие признаки рационального потребителя: а) знать качество, общественную ценность, общую и предельную полезность ПНС; б) ориентироваться на </w:t>
      </w:r>
      <w:proofErr w:type="spellStart"/>
      <w:r w:rsidRPr="00CA3AAE">
        <w:rPr>
          <w:rFonts w:ascii="Times New Roman" w:hAnsi="Times New Roman" w:cs="Times New Roman"/>
          <w:sz w:val="28"/>
          <w:szCs w:val="28"/>
        </w:rPr>
        <w:t>квазирынке</w:t>
      </w:r>
      <w:proofErr w:type="spellEnd"/>
      <w:r w:rsidRPr="00CA3AAE">
        <w:rPr>
          <w:rFonts w:ascii="Times New Roman" w:hAnsi="Times New Roman" w:cs="Times New Roman"/>
          <w:sz w:val="28"/>
          <w:szCs w:val="28"/>
        </w:rPr>
        <w:t xml:space="preserve"> ПНС; в) хорошо знать свои потребности; г) не выходить за пределы своего </w:t>
      </w:r>
      <w:proofErr w:type="spellStart"/>
      <w:r w:rsidRPr="00CA3AAE">
        <w:rPr>
          <w:rFonts w:ascii="Times New Roman" w:hAnsi="Times New Roman" w:cs="Times New Roman"/>
          <w:sz w:val="28"/>
          <w:szCs w:val="28"/>
        </w:rPr>
        <w:t>квазибюджета</w:t>
      </w:r>
      <w:proofErr w:type="spellEnd"/>
      <w:r w:rsidRPr="00CA3AAE">
        <w:rPr>
          <w:rFonts w:ascii="Times New Roman" w:hAnsi="Times New Roman" w:cs="Times New Roman"/>
          <w:sz w:val="28"/>
          <w:szCs w:val="28"/>
        </w:rPr>
        <w:t xml:space="preserve"> ПНС; д) потратить свои усилия так, чтобы максимизировать общую полезность. ПНС, как и всякое потребляемое благо, теоретически можно разложить на составные части. Полезность, в соответствии с концепцией маржинализма, можно </w:t>
      </w:r>
      <w:proofErr w:type="gramStart"/>
      <w:r w:rsidRPr="00CA3AAE">
        <w:rPr>
          <w:rFonts w:ascii="Times New Roman" w:hAnsi="Times New Roman" w:cs="Times New Roman"/>
          <w:sz w:val="28"/>
          <w:szCs w:val="28"/>
        </w:rPr>
        <w:t>представить</w:t>
      </w:r>
      <w:proofErr w:type="gramEnd"/>
      <w:r w:rsidRPr="00CA3AAE">
        <w:rPr>
          <w:rFonts w:ascii="Times New Roman" w:hAnsi="Times New Roman" w:cs="Times New Roman"/>
          <w:sz w:val="28"/>
          <w:szCs w:val="28"/>
        </w:rPr>
        <w:t xml:space="preserve"> как субъективно </w:t>
      </w:r>
      <w:r w:rsidRPr="00CA3AAE">
        <w:rPr>
          <w:rFonts w:ascii="Times New Roman" w:hAnsi="Times New Roman" w:cs="Times New Roman"/>
          <w:sz w:val="28"/>
          <w:szCs w:val="28"/>
        </w:rPr>
        <w:lastRenderedPageBreak/>
        <w:t xml:space="preserve">определяемую самим потребителем величину, размер которой также может обозначаться в условных единицах. Полезность последней потребляемой единицы будет называться предельной. Сумма полезностей, которую извлекает потребитель от потребления всего количества данного товара или услуги, обозначается как совокупная или общая полезность. 91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Естественно, что при этом следует учитывать </w:t>
      </w:r>
      <w:r w:rsidRPr="00CA3AAE">
        <w:rPr>
          <w:rFonts w:ascii="Times New Roman" w:hAnsi="Times New Roman" w:cs="Times New Roman"/>
          <w:i/>
          <w:iCs/>
          <w:sz w:val="28"/>
          <w:szCs w:val="28"/>
        </w:rPr>
        <w:t>специфику потребления ПНС</w:t>
      </w:r>
      <w:r w:rsidRPr="00CA3AAE">
        <w:rPr>
          <w:rFonts w:ascii="Times New Roman" w:hAnsi="Times New Roman" w:cs="Times New Roman"/>
          <w:sz w:val="28"/>
          <w:szCs w:val="28"/>
        </w:rPr>
        <w:t xml:space="preserve">: 1. Потребитель сам частично является участником производства ПНС. Лишь в отдельных случаях потребитель может вносить за ПНС символическую плату, значительно меньшую его фактической общественной ценности, в виде членских или добровольных благотворительных взносов. 2. Огромную роль при потреблении, как и в целом при воспроизводстве ПНС, играют духовные факторы. Только удовлетворением духовных потребностей можно адекватно объяснить положение потребительского равновесия, </w:t>
      </w:r>
      <w:proofErr w:type="gramStart"/>
      <w:r w:rsidRPr="00CA3AAE">
        <w:rPr>
          <w:rFonts w:ascii="Times New Roman" w:hAnsi="Times New Roman" w:cs="Times New Roman"/>
          <w:sz w:val="28"/>
          <w:szCs w:val="28"/>
        </w:rPr>
        <w:t>также</w:t>
      </w:r>
      <w:proofErr w:type="gramEnd"/>
      <w:r w:rsidRPr="00CA3AAE">
        <w:rPr>
          <w:rFonts w:ascii="Times New Roman" w:hAnsi="Times New Roman" w:cs="Times New Roman"/>
          <w:sz w:val="28"/>
          <w:szCs w:val="28"/>
        </w:rPr>
        <w:t xml:space="preserve"> как и равновесие при производстве и обмене-распределении ПНС, достигаемое участниками воспроизводства ПНС при внешней неэквивалентности обмена между ними с точки зрения учета только материальных благ. Волонтерский труд, вложенный в производство ПНС, может быть в стоимостной рыночной оценке гораздо больше рыночной </w:t>
      </w:r>
      <w:proofErr w:type="spellStart"/>
      <w:r w:rsidRPr="00CA3AAE">
        <w:rPr>
          <w:rFonts w:ascii="Times New Roman" w:hAnsi="Times New Roman" w:cs="Times New Roman"/>
          <w:sz w:val="28"/>
          <w:szCs w:val="28"/>
        </w:rPr>
        <w:t>квазицены</w:t>
      </w:r>
      <w:proofErr w:type="spellEnd"/>
      <w:r w:rsidRPr="00CA3AAE">
        <w:rPr>
          <w:rFonts w:ascii="Times New Roman" w:hAnsi="Times New Roman" w:cs="Times New Roman"/>
          <w:sz w:val="28"/>
          <w:szCs w:val="28"/>
        </w:rPr>
        <w:t xml:space="preserve"> полученного в итоге ПНС. Удовлетворение духовных потребностей участниками воспроизводства ПНС в ходе производства, распределения-обмена и потребления ПНС можно назвать </w:t>
      </w:r>
      <w:r w:rsidRPr="00CA3AAE">
        <w:rPr>
          <w:rFonts w:ascii="Times New Roman" w:hAnsi="Times New Roman" w:cs="Times New Roman"/>
          <w:i/>
          <w:iCs/>
          <w:sz w:val="28"/>
          <w:szCs w:val="28"/>
        </w:rPr>
        <w:t xml:space="preserve">внутренним положительным эффектом воспроизводства ПНС. </w:t>
      </w:r>
      <w:r w:rsidRPr="00CA3AAE">
        <w:rPr>
          <w:rFonts w:ascii="Times New Roman" w:hAnsi="Times New Roman" w:cs="Times New Roman"/>
          <w:sz w:val="28"/>
          <w:szCs w:val="28"/>
        </w:rPr>
        <w:t xml:space="preserve">3. Значительные различия наблюдаются при потреблении ППД и ПННД. Потребление ПННД, в отличие от ППД, в большинстве случаев должно быть адресным. Имеются, правда, значительные группы ПННД, потребителями которых могут быть все без исключения домохозяйства, находящиеся на данной территории, ввиду их близости по физической форме к чистым общественным благам. Это – здоровая окружающая среда, общественная безопасность, гражданские свободы и т.п. Однако данные виды ПННД невозможно произвести без соответствующих политических решений, т.е. взаимосвязанных с ними ППД. Грань между политическим и неполитическим процессом производства подобных ПНС не всегда является четко определимой. Тем более, что традиционно такие блага под названием чистых общественных благ производятся государством.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Указанные особенности потребления ПНС определяют </w:t>
      </w:r>
      <w:r w:rsidRPr="00CA3AAE">
        <w:rPr>
          <w:rFonts w:ascii="Times New Roman" w:hAnsi="Times New Roman" w:cs="Times New Roman"/>
          <w:i/>
          <w:iCs/>
          <w:sz w:val="28"/>
          <w:szCs w:val="28"/>
        </w:rPr>
        <w:t>институциональные факторы</w:t>
      </w:r>
      <w:r w:rsidRPr="00CA3AAE">
        <w:rPr>
          <w:rFonts w:ascii="Times New Roman" w:hAnsi="Times New Roman" w:cs="Times New Roman"/>
          <w:sz w:val="28"/>
          <w:szCs w:val="28"/>
        </w:rPr>
        <w:t xml:space="preserve">, учитываемые при создании модели потребительского выбора ПНС. Помимо маржинальных инструментов потребительского выбора, описанных выше, мы вводим в данную модель некоторые институциональные элементы, учитывающие специфику некоммерческого сектора. Это касается, например, правила максимизации полезности, где понятие общественной ценности ПНС выражается не через денежные единицы, а через всю совокупность затрат и прироста 92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ценности, получаемой при воспроизводстве ПНС. Формирование общественной ценности ПНС аналогично формированию социального дохода (по терминологии Гэри Беккера) [1, С. 16]. Полезность ПНС определяется его потребителем не только с учетом удовлетворения его непосредственной потребности, но также с учетом духовных факторов, неизбежно присутствующих при воспроизводстве ПНС, называемых нами разновидностями </w:t>
      </w:r>
      <w:proofErr w:type="spellStart"/>
      <w:r w:rsidRPr="00CA3AAE">
        <w:rPr>
          <w:rFonts w:ascii="Times New Roman" w:hAnsi="Times New Roman" w:cs="Times New Roman"/>
          <w:sz w:val="28"/>
          <w:szCs w:val="28"/>
        </w:rPr>
        <w:t>нефакторных</w:t>
      </w:r>
      <w:proofErr w:type="spellEnd"/>
      <w:r w:rsidRPr="00CA3AAE">
        <w:rPr>
          <w:rFonts w:ascii="Times New Roman" w:hAnsi="Times New Roman" w:cs="Times New Roman"/>
          <w:sz w:val="28"/>
          <w:szCs w:val="28"/>
        </w:rPr>
        <w:t xml:space="preserve"> доходов или внутренними эффектами воспроизводства ПНС. Производительным способом могут потребляться следующие типы ПНС: 1. </w:t>
      </w:r>
      <w:r w:rsidRPr="00CA3AAE">
        <w:rPr>
          <w:rFonts w:ascii="Times New Roman" w:hAnsi="Times New Roman" w:cs="Times New Roman"/>
          <w:sz w:val="28"/>
          <w:szCs w:val="28"/>
        </w:rPr>
        <w:lastRenderedPageBreak/>
        <w:t xml:space="preserve">Информация, необходимая для работы НКО, юридического, бухгалтерского и иного характера. 2. Обучение актива НКО технологиям работы (партийное строительство, PR и др.). 3. Политическое действие, необходимое для производства другого ППД или ПННД. ПНС потребляемый другой НКО тут же мгновенно включается в производство нового ПНС. Обычно здесь отсутствует стадия обмена, характерная для рынка, т.к. нет эквивалентного обмена. ПНС передается безвозмездно потребителю, что обычно является условием инвесторов или всей некоммерческой программы. Иногда ПНС будет потребляться коммерческим сектором. По сути это коммерческая деятельность, однако, обе сотрудничающие стороны (НКО и предприниматель) могут найти взаимный интерес в нетрадиционных способах работы и расчета за услуги, в частности, для уклонения от уплаты налогов. НКО заинтересован в получении денежных или материальных инвестиций в производство ПНС, а предприниматель – в развитии и укреплении своего общественного авторитета и политического капитала. Государство также может быть потребителем политических и PR-услуг некоммерческого сектора. Заказчиками явно или неявно выступают отдельные политические деятели, чиновники или политические группы. Впрочем, государство, как и коммерческий сектор, во всех этих примерах выступают скорее не как потребители, а как заказчики ПНС – инвесторы, поскольку непосредственными потребителями PR-услуг выступает общественность (избиратели в целом или отдельные группы домохозяйств).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Более явным примером потребления коммерческим сектором и государством ПНС служит удовлетворение части всеобщих интересов посредством производства общественных благ – охрана окружающей среды, профилактика общественной безопасности, сохранение духовных 93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ценностей, что в конечном итоге снижает социальную напряженность и сохраняет общественное равновесие. </w:t>
      </w:r>
      <w:r w:rsidRPr="00CA3AAE">
        <w:rPr>
          <w:rFonts w:ascii="Times New Roman" w:hAnsi="Times New Roman" w:cs="Times New Roman"/>
          <w:i/>
          <w:iCs/>
          <w:sz w:val="28"/>
          <w:szCs w:val="28"/>
        </w:rPr>
        <w:t xml:space="preserve">Полная формула воспроизводства ПНС </w:t>
      </w:r>
      <w:r w:rsidRPr="00CA3AAE">
        <w:rPr>
          <w:rFonts w:ascii="Times New Roman" w:hAnsi="Times New Roman" w:cs="Times New Roman"/>
          <w:sz w:val="28"/>
          <w:szCs w:val="28"/>
        </w:rPr>
        <w:t xml:space="preserve">будет иметь вид (Рис.1). Рис.1. Полная формула воспроизводства Продукта некоммерческого сектора. Где Д – деньги, инвестиции в производство ПНС Т – товарная форма инвестиций после покупки на рынке факторов производства </w:t>
      </w:r>
      <w:proofErr w:type="spellStart"/>
      <w:r w:rsidRPr="00CA3AAE">
        <w:rPr>
          <w:rFonts w:ascii="Times New Roman" w:hAnsi="Times New Roman" w:cs="Times New Roman"/>
          <w:sz w:val="28"/>
          <w:szCs w:val="28"/>
        </w:rPr>
        <w:t>Тр</w:t>
      </w:r>
      <w:proofErr w:type="spellEnd"/>
      <w:r w:rsidRPr="00CA3AAE">
        <w:rPr>
          <w:rFonts w:ascii="Times New Roman" w:hAnsi="Times New Roman" w:cs="Times New Roman"/>
          <w:sz w:val="28"/>
          <w:szCs w:val="28"/>
        </w:rPr>
        <w:t xml:space="preserve"> – фактор «труд» </w:t>
      </w:r>
      <w:proofErr w:type="spellStart"/>
      <w:r w:rsidRPr="00CA3AAE">
        <w:rPr>
          <w:rFonts w:ascii="Times New Roman" w:hAnsi="Times New Roman" w:cs="Times New Roman"/>
          <w:sz w:val="28"/>
          <w:szCs w:val="28"/>
        </w:rPr>
        <w:t>Сп</w:t>
      </w:r>
      <w:proofErr w:type="spellEnd"/>
      <w:r w:rsidRPr="00CA3AAE">
        <w:rPr>
          <w:rFonts w:ascii="Times New Roman" w:hAnsi="Times New Roman" w:cs="Times New Roman"/>
          <w:sz w:val="28"/>
          <w:szCs w:val="28"/>
        </w:rPr>
        <w:t xml:space="preserve"> – «средства производства» (физический капитал), традиционно называемый фактором «капитал» С – сырье – фактор «земля» </w:t>
      </w:r>
      <w:proofErr w:type="spellStart"/>
      <w:r w:rsidRPr="00CA3AAE">
        <w:rPr>
          <w:rFonts w:ascii="Times New Roman" w:hAnsi="Times New Roman" w:cs="Times New Roman"/>
          <w:sz w:val="28"/>
          <w:szCs w:val="28"/>
        </w:rPr>
        <w:t>Пс</w:t>
      </w:r>
      <w:proofErr w:type="spellEnd"/>
      <w:r w:rsidRPr="00CA3AAE">
        <w:rPr>
          <w:rFonts w:ascii="Times New Roman" w:hAnsi="Times New Roman" w:cs="Times New Roman"/>
          <w:sz w:val="28"/>
          <w:szCs w:val="28"/>
        </w:rPr>
        <w:t xml:space="preserve"> – труд по управлению – фактор «предпринимательские способности» П – процесс производства </w:t>
      </w:r>
      <w:proofErr w:type="gramStart"/>
      <w:r w:rsidRPr="00CA3AAE">
        <w:rPr>
          <w:rFonts w:ascii="Times New Roman" w:hAnsi="Times New Roman" w:cs="Times New Roman"/>
          <w:sz w:val="28"/>
          <w:szCs w:val="28"/>
        </w:rPr>
        <w:t>У</w:t>
      </w:r>
      <w:proofErr w:type="gramEnd"/>
      <w:r w:rsidRPr="00CA3AAE">
        <w:rPr>
          <w:rFonts w:ascii="Times New Roman" w:hAnsi="Times New Roman" w:cs="Times New Roman"/>
          <w:sz w:val="28"/>
          <w:szCs w:val="28"/>
        </w:rPr>
        <w:t xml:space="preserve"> - услуга - ПНС, используемый другими НКО для приобретения факторов производства нового ПНС. «У» аналогичен Д</w:t>
      </w:r>
      <w:proofErr w:type="gramStart"/>
      <w:r w:rsidRPr="00CA3AAE">
        <w:rPr>
          <w:rFonts w:ascii="Times New Roman" w:hAnsi="Times New Roman" w:cs="Times New Roman"/>
          <w:sz w:val="28"/>
          <w:szCs w:val="28"/>
        </w:rPr>
        <w:t> ,</w:t>
      </w:r>
      <w:proofErr w:type="gramEnd"/>
      <w:r w:rsidRPr="00CA3AAE">
        <w:rPr>
          <w:rFonts w:ascii="Times New Roman" w:hAnsi="Times New Roman" w:cs="Times New Roman"/>
          <w:sz w:val="28"/>
          <w:szCs w:val="28"/>
        </w:rPr>
        <w:t xml:space="preserve"> однако обычно без прибавочного продукта или прибыли. Тр1 – новый «труд» Сп1– новые «средства производства» С1 –новое сырье Пс1 – новый труд по управлению </w:t>
      </w:r>
      <w:proofErr w:type="spellStart"/>
      <w:r w:rsidRPr="00CA3AAE">
        <w:rPr>
          <w:rFonts w:ascii="Times New Roman" w:hAnsi="Times New Roman" w:cs="Times New Roman"/>
          <w:sz w:val="28"/>
          <w:szCs w:val="28"/>
        </w:rPr>
        <w:t>Лп</w:t>
      </w:r>
      <w:proofErr w:type="spellEnd"/>
      <w:r w:rsidRPr="00CA3AAE">
        <w:rPr>
          <w:rFonts w:ascii="Times New Roman" w:hAnsi="Times New Roman" w:cs="Times New Roman"/>
          <w:sz w:val="28"/>
          <w:szCs w:val="28"/>
        </w:rPr>
        <w:t xml:space="preserve"> – личное потребление Д1 – новые инвестиции в производство нового ПНС Т1 – часть ПНС, ушедшая на потребление другим НКО, коммерческому сектору или государству. Т2 – товарная форма инвестиций (Д1 + часть Т1), которая воплощается в факторах производства Тр1, Сп1, С1 и Пс1. </w:t>
      </w:r>
      <w:proofErr w:type="spellStart"/>
      <w:r w:rsidRPr="00CA3AAE">
        <w:rPr>
          <w:rFonts w:ascii="Times New Roman" w:hAnsi="Times New Roman" w:cs="Times New Roman"/>
          <w:sz w:val="28"/>
          <w:szCs w:val="28"/>
        </w:rPr>
        <w:t>Тр</w:t>
      </w:r>
      <w:proofErr w:type="spellEnd"/>
      <w:r w:rsidRPr="00CA3AAE">
        <w:rPr>
          <w:rFonts w:ascii="Times New Roman" w:hAnsi="Times New Roman" w:cs="Times New Roman"/>
          <w:sz w:val="28"/>
          <w:szCs w:val="28"/>
        </w:rPr>
        <w:t xml:space="preserve"> Тр1 </w:t>
      </w:r>
      <w:proofErr w:type="spellStart"/>
      <w:r w:rsidRPr="00CA3AAE">
        <w:rPr>
          <w:rFonts w:ascii="Times New Roman" w:hAnsi="Times New Roman" w:cs="Times New Roman"/>
          <w:sz w:val="28"/>
          <w:szCs w:val="28"/>
        </w:rPr>
        <w:t>Сп</w:t>
      </w:r>
      <w:proofErr w:type="spellEnd"/>
      <w:r w:rsidRPr="00CA3AAE">
        <w:rPr>
          <w:rFonts w:ascii="Times New Roman" w:hAnsi="Times New Roman" w:cs="Times New Roman"/>
          <w:sz w:val="28"/>
          <w:szCs w:val="28"/>
        </w:rPr>
        <w:t xml:space="preserve"> Т1 Сп1 Д – Т … П – У … Т2 С </w:t>
      </w:r>
      <w:proofErr w:type="spellStart"/>
      <w:r w:rsidRPr="00CA3AAE">
        <w:rPr>
          <w:rFonts w:ascii="Times New Roman" w:hAnsi="Times New Roman" w:cs="Times New Roman"/>
          <w:sz w:val="28"/>
          <w:szCs w:val="28"/>
        </w:rPr>
        <w:t>Лп</w:t>
      </w:r>
      <w:proofErr w:type="spellEnd"/>
      <w:r w:rsidRPr="00CA3AAE">
        <w:rPr>
          <w:rFonts w:ascii="Times New Roman" w:hAnsi="Times New Roman" w:cs="Times New Roman"/>
          <w:sz w:val="28"/>
          <w:szCs w:val="28"/>
        </w:rPr>
        <w:t xml:space="preserve"> Д1 С1 </w:t>
      </w:r>
      <w:proofErr w:type="spellStart"/>
      <w:r w:rsidRPr="00CA3AAE">
        <w:rPr>
          <w:rFonts w:ascii="Times New Roman" w:hAnsi="Times New Roman" w:cs="Times New Roman"/>
          <w:sz w:val="28"/>
          <w:szCs w:val="28"/>
        </w:rPr>
        <w:t>Пс</w:t>
      </w:r>
      <w:proofErr w:type="spellEnd"/>
      <w:r w:rsidRPr="00CA3AAE">
        <w:rPr>
          <w:rFonts w:ascii="Times New Roman" w:hAnsi="Times New Roman" w:cs="Times New Roman"/>
          <w:sz w:val="28"/>
          <w:szCs w:val="28"/>
        </w:rPr>
        <w:t xml:space="preserve"> Пс1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В ряде случаев Т = Т1 – обязательное условие бесприбыльного производства с точки зрения стоимостного подхода. Ценность Д, пошедшая на покупку факторов производства </w:t>
      </w:r>
      <w:proofErr w:type="spellStart"/>
      <w:r w:rsidRPr="00CA3AAE">
        <w:rPr>
          <w:rFonts w:ascii="Times New Roman" w:hAnsi="Times New Roman" w:cs="Times New Roman"/>
          <w:sz w:val="28"/>
          <w:szCs w:val="28"/>
        </w:rPr>
        <w:t>Тр</w:t>
      </w:r>
      <w:proofErr w:type="spellEnd"/>
      <w:r w:rsidRPr="00CA3AAE">
        <w:rPr>
          <w:rFonts w:ascii="Times New Roman" w:hAnsi="Times New Roman" w:cs="Times New Roman"/>
          <w:sz w:val="28"/>
          <w:szCs w:val="28"/>
        </w:rPr>
        <w:t xml:space="preserve">, </w:t>
      </w:r>
      <w:proofErr w:type="spellStart"/>
      <w:r w:rsidRPr="00CA3AAE">
        <w:rPr>
          <w:rFonts w:ascii="Times New Roman" w:hAnsi="Times New Roman" w:cs="Times New Roman"/>
          <w:sz w:val="28"/>
          <w:szCs w:val="28"/>
        </w:rPr>
        <w:t>Сп</w:t>
      </w:r>
      <w:proofErr w:type="spellEnd"/>
      <w:r w:rsidRPr="00CA3AAE">
        <w:rPr>
          <w:rFonts w:ascii="Times New Roman" w:hAnsi="Times New Roman" w:cs="Times New Roman"/>
          <w:sz w:val="28"/>
          <w:szCs w:val="28"/>
        </w:rPr>
        <w:t xml:space="preserve">, С и </w:t>
      </w:r>
      <w:proofErr w:type="spellStart"/>
      <w:r w:rsidRPr="00CA3AAE">
        <w:rPr>
          <w:rFonts w:ascii="Times New Roman" w:hAnsi="Times New Roman" w:cs="Times New Roman"/>
          <w:sz w:val="28"/>
          <w:szCs w:val="28"/>
        </w:rPr>
        <w:t>Пс</w:t>
      </w:r>
      <w:proofErr w:type="spellEnd"/>
      <w:r w:rsidRPr="00CA3AAE">
        <w:rPr>
          <w:rFonts w:ascii="Times New Roman" w:hAnsi="Times New Roman" w:cs="Times New Roman"/>
          <w:sz w:val="28"/>
          <w:szCs w:val="28"/>
        </w:rPr>
        <w:t xml:space="preserve">, в процессе 94 </w:t>
      </w:r>
    </w:p>
    <w:p w:rsidR="009E23CC"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производства сменила свою физическую природу, но сохранила свою величину. Самовозрастания ценности не произошло, так </w:t>
      </w:r>
      <w:proofErr w:type="gramStart"/>
      <w:r w:rsidRPr="00CA3AAE">
        <w:rPr>
          <w:rFonts w:ascii="Times New Roman" w:hAnsi="Times New Roman" w:cs="Times New Roman"/>
          <w:sz w:val="28"/>
          <w:szCs w:val="28"/>
        </w:rPr>
        <w:t>же</w:t>
      </w:r>
      <w:proofErr w:type="gramEnd"/>
      <w:r w:rsidRPr="00CA3AAE">
        <w:rPr>
          <w:rFonts w:ascii="Times New Roman" w:hAnsi="Times New Roman" w:cs="Times New Roman"/>
          <w:sz w:val="28"/>
          <w:szCs w:val="28"/>
        </w:rPr>
        <w:t xml:space="preserve"> как и прибавочный продукт не был </w:t>
      </w:r>
      <w:r w:rsidRPr="00CA3AAE">
        <w:rPr>
          <w:rFonts w:ascii="Times New Roman" w:hAnsi="Times New Roman" w:cs="Times New Roman"/>
          <w:sz w:val="28"/>
          <w:szCs w:val="28"/>
        </w:rPr>
        <w:lastRenderedPageBreak/>
        <w:t>произведен. Инвестиции пошли на оплату всех издержек. Собственники факторов производства получили компенсацию за предоставление своих ресурсов, равную величине произведенного ими необходимого продукта. Если эти собственники предоставили ресурсы, исходя не из коммерческих, а из более высоких нравственных мотивов, их можно рассматривать как благотворителей-инвесторов. Инвесторы могут предоставить ресурсы, как на безвозвратной, так и на возвратной основе. В последнем случае долг без процентов им можно вернуть за счет других инвесторов. В случае, если факторы производства используются достаточно эффективно, объективно происходит самовозрастание ценности, поскольку каждый фактор стремится компенсировать не только собственные затраты, но и произвести прибавочный продукт. Часть факторных доходов в виде прибыли, процента и ренты, входящие в прибавочный продукт, однако, не будут получены ввиду того, что ПНС будет не продан, а передан потребителям безвозмездно. Другой факторный доход – заработная плата части работников, с которыми заключены трудовые договора или договора подряда, будет выплачен из инвестиций. Значительная же доля фактора «труд» не будет оплачена ввиду привлечения волонтеров, работающих за идею.</w:t>
      </w:r>
    </w:p>
    <w:p w:rsidR="009E23CC"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 </w:t>
      </w:r>
      <w:bookmarkStart w:id="0" w:name="_GoBack"/>
      <w:r w:rsidRPr="002F5A4F">
        <w:rPr>
          <w:rFonts w:ascii="Times New Roman" w:hAnsi="Times New Roman" w:cs="Times New Roman"/>
          <w:b/>
          <w:sz w:val="28"/>
          <w:szCs w:val="28"/>
        </w:rPr>
        <w:t>Вопросы для самопроверки</w:t>
      </w:r>
      <w:r w:rsidRPr="00CA3AAE">
        <w:rPr>
          <w:rFonts w:ascii="Times New Roman" w:hAnsi="Times New Roman" w:cs="Times New Roman"/>
          <w:sz w:val="28"/>
          <w:szCs w:val="28"/>
        </w:rPr>
        <w:t xml:space="preserve"> </w:t>
      </w:r>
      <w:bookmarkEnd w:id="0"/>
      <w:r w:rsidR="009E23CC">
        <w:rPr>
          <w:b/>
          <w:bCs/>
          <w:sz w:val="30"/>
          <w:szCs w:val="30"/>
        </w:rPr>
        <w:t>письменно прикрепить</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1. К каким секторам в различных системах классификаций относятся некоммерческие организации? 2. Какие существуют основные формы социального партнерства? 3. Назовите основные задачи социального партнерства в сфере труда. 4. Что является стратегической целью социального партнерства? 5. Назовите основные философские принципы социального партнерства. 6. Что такое </w:t>
      </w:r>
      <w:proofErr w:type="spellStart"/>
      <w:r w:rsidRPr="00CA3AAE">
        <w:rPr>
          <w:rFonts w:ascii="Times New Roman" w:hAnsi="Times New Roman" w:cs="Times New Roman"/>
          <w:sz w:val="28"/>
          <w:szCs w:val="28"/>
        </w:rPr>
        <w:t>трипартизм</w:t>
      </w:r>
      <w:proofErr w:type="spellEnd"/>
      <w:r w:rsidRPr="00CA3AAE">
        <w:rPr>
          <w:rFonts w:ascii="Times New Roman" w:hAnsi="Times New Roman" w:cs="Times New Roman"/>
          <w:sz w:val="28"/>
          <w:szCs w:val="28"/>
        </w:rPr>
        <w:t xml:space="preserve">? 7. Опишите основные модели социального партнерства, известные в мире. 8. Что такое Продукт некоммерческого сектора? 9. Что является внутренним положительным эффектом воспроизводства Продукта некоммерческого сектора? 10. Что является внешним положительным эффектом воспроизводства Продукта некоммерческого сектора? 95 </w:t>
      </w: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9E23CC" w:rsidP="00CA3AAE">
      <w:pPr>
        <w:pStyle w:val="a3"/>
        <w:ind w:left="-993"/>
        <w:jc w:val="both"/>
        <w:rPr>
          <w:rFonts w:ascii="Times New Roman" w:hAnsi="Times New Roman" w:cs="Times New Roman"/>
          <w:sz w:val="28"/>
          <w:szCs w:val="28"/>
        </w:rPr>
      </w:pPr>
    </w:p>
    <w:p w:rsidR="009E23CC"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Список литературы </w:t>
      </w:r>
    </w:p>
    <w:p w:rsidR="00CA3AAE" w:rsidRPr="00CA3AAE" w:rsidRDefault="00CA3AAE" w:rsidP="00CA3AAE">
      <w:pPr>
        <w:pStyle w:val="a3"/>
        <w:ind w:left="-993"/>
        <w:jc w:val="both"/>
        <w:rPr>
          <w:rFonts w:ascii="Times New Roman" w:hAnsi="Times New Roman" w:cs="Times New Roman"/>
          <w:sz w:val="28"/>
          <w:szCs w:val="28"/>
        </w:rPr>
      </w:pPr>
      <w:r w:rsidRPr="00CA3AAE">
        <w:rPr>
          <w:rFonts w:ascii="Times New Roman" w:hAnsi="Times New Roman" w:cs="Times New Roman"/>
          <w:sz w:val="28"/>
          <w:szCs w:val="28"/>
        </w:rPr>
        <w:t xml:space="preserve">1. </w:t>
      </w:r>
      <w:r w:rsidRPr="00CA3AAE">
        <w:rPr>
          <w:rFonts w:ascii="Times New Roman" w:hAnsi="Times New Roman" w:cs="Times New Roman"/>
          <w:i/>
          <w:iCs/>
          <w:sz w:val="28"/>
          <w:szCs w:val="28"/>
        </w:rPr>
        <w:t xml:space="preserve">Беккер, Г. С. </w:t>
      </w:r>
      <w:r w:rsidRPr="00CA3AAE">
        <w:rPr>
          <w:rFonts w:ascii="Times New Roman" w:hAnsi="Times New Roman" w:cs="Times New Roman"/>
          <w:sz w:val="28"/>
          <w:szCs w:val="28"/>
        </w:rPr>
        <w:t xml:space="preserve">Человеческое поведение: экономический подход. </w:t>
      </w:r>
      <w:proofErr w:type="spellStart"/>
      <w:r w:rsidRPr="00CA3AAE">
        <w:rPr>
          <w:rFonts w:ascii="Times New Roman" w:hAnsi="Times New Roman" w:cs="Times New Roman"/>
          <w:sz w:val="28"/>
          <w:szCs w:val="28"/>
        </w:rPr>
        <w:t>Избр</w:t>
      </w:r>
      <w:proofErr w:type="spellEnd"/>
      <w:r w:rsidRPr="00CA3AAE">
        <w:rPr>
          <w:rFonts w:ascii="Times New Roman" w:hAnsi="Times New Roman" w:cs="Times New Roman"/>
          <w:sz w:val="28"/>
          <w:szCs w:val="28"/>
        </w:rPr>
        <w:t xml:space="preserve">. труды по экономической теории/ Г. С. Беккер. – М.: ГУ ВШЭ, 2003. – 671 с. 2. </w:t>
      </w:r>
      <w:r w:rsidRPr="00CA3AAE">
        <w:rPr>
          <w:rFonts w:ascii="Times New Roman" w:hAnsi="Times New Roman" w:cs="Times New Roman"/>
          <w:i/>
          <w:iCs/>
          <w:sz w:val="28"/>
          <w:szCs w:val="28"/>
        </w:rPr>
        <w:t xml:space="preserve">Горбачев, М. С. </w:t>
      </w:r>
      <w:r w:rsidRPr="00CA3AAE">
        <w:rPr>
          <w:rFonts w:ascii="Times New Roman" w:hAnsi="Times New Roman" w:cs="Times New Roman"/>
          <w:sz w:val="28"/>
          <w:szCs w:val="28"/>
        </w:rPr>
        <w:t xml:space="preserve">Грани глобализации: Трудные вопросы современного развития/ М. С. Горбачев, А. Г. </w:t>
      </w:r>
      <w:proofErr w:type="spellStart"/>
      <w:r w:rsidRPr="00CA3AAE">
        <w:rPr>
          <w:rFonts w:ascii="Times New Roman" w:hAnsi="Times New Roman" w:cs="Times New Roman"/>
          <w:sz w:val="28"/>
          <w:szCs w:val="28"/>
        </w:rPr>
        <w:t>Арбатов</w:t>
      </w:r>
      <w:proofErr w:type="spellEnd"/>
      <w:r w:rsidRPr="00CA3AAE">
        <w:rPr>
          <w:rFonts w:ascii="Times New Roman" w:hAnsi="Times New Roman" w:cs="Times New Roman"/>
          <w:sz w:val="28"/>
          <w:szCs w:val="28"/>
        </w:rPr>
        <w:t>, О. Т. Богомолов, А. А. Галкин, В. И. Данилов-</w:t>
      </w:r>
      <w:proofErr w:type="spellStart"/>
      <w:r w:rsidRPr="00CA3AAE">
        <w:rPr>
          <w:rFonts w:ascii="Times New Roman" w:hAnsi="Times New Roman" w:cs="Times New Roman"/>
          <w:sz w:val="28"/>
          <w:szCs w:val="28"/>
        </w:rPr>
        <w:t>Данильян</w:t>
      </w:r>
      <w:proofErr w:type="spellEnd"/>
      <w:r w:rsidRPr="00CA3AAE">
        <w:rPr>
          <w:rFonts w:ascii="Times New Roman" w:hAnsi="Times New Roman" w:cs="Times New Roman"/>
          <w:sz w:val="28"/>
          <w:szCs w:val="28"/>
        </w:rPr>
        <w:t xml:space="preserve">, Г. Г. Дилигенский, М. В. Ильин, Ю. А. Красин, В. Б. </w:t>
      </w:r>
      <w:proofErr w:type="spellStart"/>
      <w:r w:rsidRPr="00CA3AAE">
        <w:rPr>
          <w:rFonts w:ascii="Times New Roman" w:hAnsi="Times New Roman" w:cs="Times New Roman"/>
          <w:sz w:val="28"/>
          <w:szCs w:val="28"/>
        </w:rPr>
        <w:t>Кувалдин</w:t>
      </w:r>
      <w:proofErr w:type="spellEnd"/>
      <w:r w:rsidRPr="00CA3AAE">
        <w:rPr>
          <w:rFonts w:ascii="Times New Roman" w:hAnsi="Times New Roman" w:cs="Times New Roman"/>
          <w:sz w:val="28"/>
          <w:szCs w:val="28"/>
        </w:rPr>
        <w:t xml:space="preserve">, В. М. Коллонтай, К. С. Лосев, В. А. Медведев, А. Д. Некипелов, А. А. </w:t>
      </w:r>
      <w:proofErr w:type="spellStart"/>
      <w:r w:rsidRPr="00CA3AAE">
        <w:rPr>
          <w:rFonts w:ascii="Times New Roman" w:hAnsi="Times New Roman" w:cs="Times New Roman"/>
          <w:sz w:val="28"/>
          <w:szCs w:val="28"/>
        </w:rPr>
        <w:t>Пикаев</w:t>
      </w:r>
      <w:proofErr w:type="spellEnd"/>
      <w:r w:rsidRPr="00CA3AAE">
        <w:rPr>
          <w:rFonts w:ascii="Times New Roman" w:hAnsi="Times New Roman" w:cs="Times New Roman"/>
          <w:sz w:val="28"/>
          <w:szCs w:val="28"/>
        </w:rPr>
        <w:t xml:space="preserve">, Н. М. </w:t>
      </w:r>
      <w:proofErr w:type="spellStart"/>
      <w:r w:rsidRPr="00CA3AAE">
        <w:rPr>
          <w:rFonts w:ascii="Times New Roman" w:hAnsi="Times New Roman" w:cs="Times New Roman"/>
          <w:sz w:val="28"/>
          <w:szCs w:val="28"/>
        </w:rPr>
        <w:t>Римашевская</w:t>
      </w:r>
      <w:proofErr w:type="spellEnd"/>
      <w:r w:rsidRPr="00CA3AAE">
        <w:rPr>
          <w:rFonts w:ascii="Times New Roman" w:hAnsi="Times New Roman" w:cs="Times New Roman"/>
          <w:sz w:val="28"/>
          <w:szCs w:val="28"/>
        </w:rPr>
        <w:t xml:space="preserve">, В. И. Толстых. – М.: Альпина </w:t>
      </w:r>
      <w:proofErr w:type="spellStart"/>
      <w:r w:rsidRPr="00CA3AAE">
        <w:rPr>
          <w:rFonts w:ascii="Times New Roman" w:hAnsi="Times New Roman" w:cs="Times New Roman"/>
          <w:sz w:val="28"/>
          <w:szCs w:val="28"/>
        </w:rPr>
        <w:t>Паблишер</w:t>
      </w:r>
      <w:proofErr w:type="spellEnd"/>
      <w:r w:rsidRPr="00CA3AAE">
        <w:rPr>
          <w:rFonts w:ascii="Times New Roman" w:hAnsi="Times New Roman" w:cs="Times New Roman"/>
          <w:sz w:val="28"/>
          <w:szCs w:val="28"/>
        </w:rPr>
        <w:t xml:space="preserve">, 2003. – 592 с. 3. Гражданское общество. Мировой опыт и </w:t>
      </w:r>
      <w:r w:rsidRPr="00CA3AAE">
        <w:rPr>
          <w:rFonts w:ascii="Times New Roman" w:hAnsi="Times New Roman" w:cs="Times New Roman"/>
          <w:sz w:val="28"/>
          <w:szCs w:val="28"/>
        </w:rPr>
        <w:lastRenderedPageBreak/>
        <w:t xml:space="preserve">проблемы России/ Отв. ред. В. Г. </w:t>
      </w:r>
      <w:proofErr w:type="spellStart"/>
      <w:proofErr w:type="gramStart"/>
      <w:r w:rsidRPr="00CA3AAE">
        <w:rPr>
          <w:rFonts w:ascii="Times New Roman" w:hAnsi="Times New Roman" w:cs="Times New Roman"/>
          <w:sz w:val="28"/>
          <w:szCs w:val="28"/>
        </w:rPr>
        <w:t>Хорос</w:t>
      </w:r>
      <w:proofErr w:type="spellEnd"/>
      <w:r w:rsidRPr="00CA3AAE">
        <w:rPr>
          <w:rFonts w:ascii="Times New Roman" w:hAnsi="Times New Roman" w:cs="Times New Roman"/>
          <w:sz w:val="28"/>
          <w:szCs w:val="28"/>
        </w:rPr>
        <w:t>.-</w:t>
      </w:r>
      <w:proofErr w:type="gramEnd"/>
      <w:r w:rsidRPr="00CA3AAE">
        <w:rPr>
          <w:rFonts w:ascii="Times New Roman" w:hAnsi="Times New Roman" w:cs="Times New Roman"/>
          <w:sz w:val="28"/>
          <w:szCs w:val="28"/>
        </w:rPr>
        <w:t xml:space="preserve">М.: ИМЭМО РАН, </w:t>
      </w:r>
      <w:proofErr w:type="spellStart"/>
      <w:r w:rsidRPr="00CA3AAE">
        <w:rPr>
          <w:rFonts w:ascii="Times New Roman" w:hAnsi="Times New Roman" w:cs="Times New Roman"/>
          <w:sz w:val="28"/>
          <w:szCs w:val="28"/>
        </w:rPr>
        <w:t>Эдиториал</w:t>
      </w:r>
      <w:proofErr w:type="spellEnd"/>
      <w:r w:rsidRPr="00CA3AAE">
        <w:rPr>
          <w:rFonts w:ascii="Times New Roman" w:hAnsi="Times New Roman" w:cs="Times New Roman"/>
          <w:sz w:val="28"/>
          <w:szCs w:val="28"/>
        </w:rPr>
        <w:t xml:space="preserve"> УРСС,1998. – 312 с. 4. </w:t>
      </w:r>
      <w:r w:rsidRPr="00CA3AAE">
        <w:rPr>
          <w:rFonts w:ascii="Times New Roman" w:hAnsi="Times New Roman" w:cs="Times New Roman"/>
          <w:i/>
          <w:iCs/>
          <w:sz w:val="28"/>
          <w:szCs w:val="28"/>
        </w:rPr>
        <w:t xml:space="preserve">Жильцов, Е. Н. </w:t>
      </w:r>
      <w:r w:rsidRPr="00CA3AAE">
        <w:rPr>
          <w:rFonts w:ascii="Times New Roman" w:hAnsi="Times New Roman" w:cs="Times New Roman"/>
          <w:sz w:val="28"/>
          <w:szCs w:val="28"/>
        </w:rPr>
        <w:t xml:space="preserve">Экономика общественного сектора и некоммерческих организаций/ Е. Н. Жильцов. – М.: Изд-во МГУ, 1995. – 185 с. 5. </w:t>
      </w:r>
      <w:proofErr w:type="spellStart"/>
      <w:r w:rsidRPr="00CA3AAE">
        <w:rPr>
          <w:rFonts w:ascii="Times New Roman" w:hAnsi="Times New Roman" w:cs="Times New Roman"/>
          <w:i/>
          <w:iCs/>
          <w:sz w:val="28"/>
          <w:szCs w:val="28"/>
        </w:rPr>
        <w:t>Кубицкий</w:t>
      </w:r>
      <w:proofErr w:type="spellEnd"/>
      <w:r w:rsidRPr="00CA3AAE">
        <w:rPr>
          <w:rFonts w:ascii="Times New Roman" w:hAnsi="Times New Roman" w:cs="Times New Roman"/>
          <w:i/>
          <w:iCs/>
          <w:sz w:val="28"/>
          <w:szCs w:val="28"/>
        </w:rPr>
        <w:t xml:space="preserve">, С. И. </w:t>
      </w:r>
      <w:r w:rsidRPr="00CA3AAE">
        <w:rPr>
          <w:rFonts w:ascii="Times New Roman" w:hAnsi="Times New Roman" w:cs="Times New Roman"/>
          <w:sz w:val="28"/>
          <w:szCs w:val="28"/>
        </w:rPr>
        <w:t xml:space="preserve">Социальное партнерство в России: состояние и перспективы/ С. И. </w:t>
      </w:r>
      <w:proofErr w:type="spellStart"/>
      <w:r w:rsidRPr="00CA3AAE">
        <w:rPr>
          <w:rFonts w:ascii="Times New Roman" w:hAnsi="Times New Roman" w:cs="Times New Roman"/>
          <w:sz w:val="28"/>
          <w:szCs w:val="28"/>
        </w:rPr>
        <w:t>Кубицкий</w:t>
      </w:r>
      <w:proofErr w:type="spellEnd"/>
      <w:r w:rsidRPr="00CA3AAE">
        <w:rPr>
          <w:rFonts w:ascii="Times New Roman" w:hAnsi="Times New Roman" w:cs="Times New Roman"/>
          <w:sz w:val="28"/>
          <w:szCs w:val="28"/>
        </w:rPr>
        <w:t xml:space="preserve">. – М.: Изд-во </w:t>
      </w:r>
      <w:proofErr w:type="spellStart"/>
      <w:r w:rsidRPr="00CA3AAE">
        <w:rPr>
          <w:rFonts w:ascii="Times New Roman" w:hAnsi="Times New Roman" w:cs="Times New Roman"/>
          <w:sz w:val="28"/>
          <w:szCs w:val="28"/>
        </w:rPr>
        <w:t>АтиСО</w:t>
      </w:r>
      <w:proofErr w:type="spellEnd"/>
      <w:r w:rsidRPr="00CA3AAE">
        <w:rPr>
          <w:rFonts w:ascii="Times New Roman" w:hAnsi="Times New Roman" w:cs="Times New Roman"/>
          <w:sz w:val="28"/>
          <w:szCs w:val="28"/>
        </w:rPr>
        <w:t xml:space="preserve">, </w:t>
      </w:r>
      <w:proofErr w:type="gramStart"/>
      <w:r w:rsidRPr="00CA3AAE">
        <w:rPr>
          <w:rFonts w:ascii="Times New Roman" w:hAnsi="Times New Roman" w:cs="Times New Roman"/>
          <w:sz w:val="28"/>
          <w:szCs w:val="28"/>
        </w:rPr>
        <w:t>1999.-</w:t>
      </w:r>
      <w:proofErr w:type="gramEnd"/>
      <w:r w:rsidRPr="00CA3AAE">
        <w:rPr>
          <w:rFonts w:ascii="Times New Roman" w:hAnsi="Times New Roman" w:cs="Times New Roman"/>
          <w:sz w:val="28"/>
          <w:szCs w:val="28"/>
        </w:rPr>
        <w:t xml:space="preserve"> 184 с. 6. </w:t>
      </w:r>
      <w:proofErr w:type="spellStart"/>
      <w:r w:rsidRPr="00CA3AAE">
        <w:rPr>
          <w:rFonts w:ascii="Times New Roman" w:hAnsi="Times New Roman" w:cs="Times New Roman"/>
          <w:i/>
          <w:iCs/>
          <w:sz w:val="28"/>
          <w:szCs w:val="28"/>
        </w:rPr>
        <w:t>Либоракина</w:t>
      </w:r>
      <w:proofErr w:type="spellEnd"/>
      <w:r w:rsidRPr="00CA3AAE">
        <w:rPr>
          <w:rFonts w:ascii="Times New Roman" w:hAnsi="Times New Roman" w:cs="Times New Roman"/>
          <w:i/>
          <w:iCs/>
          <w:sz w:val="28"/>
          <w:szCs w:val="28"/>
        </w:rPr>
        <w:t xml:space="preserve">, М. </w:t>
      </w:r>
      <w:r w:rsidRPr="00CA3AAE">
        <w:rPr>
          <w:rFonts w:ascii="Times New Roman" w:hAnsi="Times New Roman" w:cs="Times New Roman"/>
          <w:sz w:val="28"/>
          <w:szCs w:val="28"/>
        </w:rPr>
        <w:t xml:space="preserve">Социальное партнерство: заметки о формировании гражданского общества в России/ М. </w:t>
      </w:r>
      <w:proofErr w:type="spellStart"/>
      <w:r w:rsidRPr="00CA3AAE">
        <w:rPr>
          <w:rFonts w:ascii="Times New Roman" w:hAnsi="Times New Roman" w:cs="Times New Roman"/>
          <w:sz w:val="28"/>
          <w:szCs w:val="28"/>
        </w:rPr>
        <w:t>Либоракина</w:t>
      </w:r>
      <w:proofErr w:type="spellEnd"/>
      <w:r w:rsidRPr="00CA3AAE">
        <w:rPr>
          <w:rFonts w:ascii="Times New Roman" w:hAnsi="Times New Roman" w:cs="Times New Roman"/>
          <w:sz w:val="28"/>
          <w:szCs w:val="28"/>
        </w:rPr>
        <w:t xml:space="preserve">, М. </w:t>
      </w:r>
      <w:proofErr w:type="spellStart"/>
      <w:r w:rsidRPr="00CA3AAE">
        <w:rPr>
          <w:rFonts w:ascii="Times New Roman" w:hAnsi="Times New Roman" w:cs="Times New Roman"/>
          <w:sz w:val="28"/>
          <w:szCs w:val="28"/>
        </w:rPr>
        <w:t>Флямер</w:t>
      </w:r>
      <w:proofErr w:type="spellEnd"/>
      <w:r w:rsidRPr="00CA3AAE">
        <w:rPr>
          <w:rFonts w:ascii="Times New Roman" w:hAnsi="Times New Roman" w:cs="Times New Roman"/>
          <w:sz w:val="28"/>
          <w:szCs w:val="28"/>
        </w:rPr>
        <w:t xml:space="preserve">, В. </w:t>
      </w:r>
      <w:proofErr w:type="spellStart"/>
      <w:r w:rsidRPr="00CA3AAE">
        <w:rPr>
          <w:rFonts w:ascii="Times New Roman" w:hAnsi="Times New Roman" w:cs="Times New Roman"/>
          <w:sz w:val="28"/>
          <w:szCs w:val="28"/>
        </w:rPr>
        <w:t>Якимец</w:t>
      </w:r>
      <w:proofErr w:type="spellEnd"/>
      <w:r w:rsidRPr="00CA3AAE">
        <w:rPr>
          <w:rFonts w:ascii="Times New Roman" w:hAnsi="Times New Roman" w:cs="Times New Roman"/>
          <w:sz w:val="28"/>
          <w:szCs w:val="28"/>
        </w:rPr>
        <w:t xml:space="preserve">. – М.: Школа культурной политики, 1996. –116 с. 7. </w:t>
      </w:r>
      <w:r w:rsidRPr="00CA3AAE">
        <w:rPr>
          <w:rFonts w:ascii="Times New Roman" w:hAnsi="Times New Roman" w:cs="Times New Roman"/>
          <w:i/>
          <w:iCs/>
          <w:sz w:val="28"/>
          <w:szCs w:val="28"/>
        </w:rPr>
        <w:t xml:space="preserve">Макаренко, О. В. </w:t>
      </w:r>
      <w:r w:rsidRPr="00CA3AAE">
        <w:rPr>
          <w:rFonts w:ascii="Times New Roman" w:hAnsi="Times New Roman" w:cs="Times New Roman"/>
          <w:sz w:val="28"/>
          <w:szCs w:val="28"/>
        </w:rPr>
        <w:t xml:space="preserve">Государство и негосударственные некоммерческие организации: формы поддержки и сотрудничества/ О. В. Макаренко, Б. Л. Рудник, С. В. Шишкин, Л. И. Якобсон. – М.: Сигналъ,1997. – 176 с. 8. </w:t>
      </w:r>
      <w:r w:rsidRPr="00CA3AAE">
        <w:rPr>
          <w:rFonts w:ascii="Times New Roman" w:hAnsi="Times New Roman" w:cs="Times New Roman"/>
          <w:i/>
          <w:iCs/>
          <w:sz w:val="28"/>
          <w:szCs w:val="28"/>
        </w:rPr>
        <w:t xml:space="preserve">Маршалл, А. </w:t>
      </w:r>
      <w:r w:rsidRPr="00CA3AAE">
        <w:rPr>
          <w:rFonts w:ascii="Times New Roman" w:hAnsi="Times New Roman" w:cs="Times New Roman"/>
          <w:sz w:val="28"/>
          <w:szCs w:val="28"/>
        </w:rPr>
        <w:t xml:space="preserve">Принципы политической экономии/ А. Маршалл. Т.1. – М.: «Прогресс». – 416 с. </w:t>
      </w:r>
      <w:r w:rsidRPr="00CA3AAE">
        <w:rPr>
          <w:rFonts w:ascii="Times New Roman" w:hAnsi="Times New Roman" w:cs="Times New Roman"/>
          <w:i/>
          <w:iCs/>
          <w:sz w:val="28"/>
          <w:szCs w:val="28"/>
        </w:rPr>
        <w:t xml:space="preserve">9. Милль, Дж. Ст. </w:t>
      </w:r>
      <w:r w:rsidRPr="00CA3AAE">
        <w:rPr>
          <w:rFonts w:ascii="Times New Roman" w:hAnsi="Times New Roman" w:cs="Times New Roman"/>
          <w:sz w:val="28"/>
          <w:szCs w:val="28"/>
        </w:rPr>
        <w:t xml:space="preserve">Основы политической экономии/ Дж. Ст. Милль. Т.1. – М.: «Прогресс», 1980. – 496 с. 10. Михеев, В. А. Основы социального партнерства/ В. А. </w:t>
      </w:r>
      <w:proofErr w:type="gramStart"/>
      <w:r w:rsidRPr="00CA3AAE">
        <w:rPr>
          <w:rFonts w:ascii="Times New Roman" w:hAnsi="Times New Roman" w:cs="Times New Roman"/>
          <w:sz w:val="28"/>
          <w:szCs w:val="28"/>
        </w:rPr>
        <w:t>Михеев.–</w:t>
      </w:r>
      <w:proofErr w:type="gramEnd"/>
      <w:r w:rsidRPr="00CA3AAE">
        <w:rPr>
          <w:rFonts w:ascii="Times New Roman" w:hAnsi="Times New Roman" w:cs="Times New Roman"/>
          <w:sz w:val="28"/>
          <w:szCs w:val="28"/>
        </w:rPr>
        <w:t xml:space="preserve"> М.: Экзамен, 2001. – 448 с. 11. Национальное счетоводство: Учебник. – 2-е изд. / Под ред. Б. И. Башкатова. – М.: Финансы и статистика, 2002. – с. 364. 12. </w:t>
      </w:r>
      <w:r w:rsidRPr="00CA3AAE">
        <w:rPr>
          <w:rFonts w:ascii="Times New Roman" w:hAnsi="Times New Roman" w:cs="Times New Roman"/>
          <w:i/>
          <w:iCs/>
          <w:sz w:val="28"/>
          <w:szCs w:val="28"/>
        </w:rPr>
        <w:t xml:space="preserve">Привалов, Н. Г. </w:t>
      </w:r>
      <w:r w:rsidRPr="00CA3AAE">
        <w:rPr>
          <w:rFonts w:ascii="Times New Roman" w:hAnsi="Times New Roman" w:cs="Times New Roman"/>
          <w:sz w:val="28"/>
          <w:szCs w:val="28"/>
        </w:rPr>
        <w:t xml:space="preserve">Социальное партнерство: от рынка труда к гражданскому обществу/ Н. Г. Привалов, А. Н. Семин, Н. З. </w:t>
      </w:r>
      <w:proofErr w:type="spellStart"/>
      <w:r w:rsidRPr="00CA3AAE">
        <w:rPr>
          <w:rFonts w:ascii="Times New Roman" w:hAnsi="Times New Roman" w:cs="Times New Roman"/>
          <w:sz w:val="28"/>
          <w:szCs w:val="28"/>
        </w:rPr>
        <w:t>Шаймарданов</w:t>
      </w:r>
      <w:proofErr w:type="spellEnd"/>
      <w:r w:rsidRPr="00CA3AAE">
        <w:rPr>
          <w:rFonts w:ascii="Times New Roman" w:hAnsi="Times New Roman" w:cs="Times New Roman"/>
          <w:sz w:val="28"/>
          <w:szCs w:val="28"/>
        </w:rPr>
        <w:t xml:space="preserve">, В. И. </w:t>
      </w:r>
      <w:proofErr w:type="spellStart"/>
      <w:r w:rsidRPr="00CA3AAE">
        <w:rPr>
          <w:rFonts w:ascii="Times New Roman" w:hAnsi="Times New Roman" w:cs="Times New Roman"/>
          <w:sz w:val="28"/>
          <w:szCs w:val="28"/>
        </w:rPr>
        <w:t>Салчинский</w:t>
      </w:r>
      <w:proofErr w:type="spellEnd"/>
      <w:r w:rsidRPr="00CA3AAE">
        <w:rPr>
          <w:rFonts w:ascii="Times New Roman" w:hAnsi="Times New Roman" w:cs="Times New Roman"/>
          <w:sz w:val="28"/>
          <w:szCs w:val="28"/>
        </w:rPr>
        <w:t xml:space="preserve">, Л. М. Стахеева, М. Л. Юсупов / Под науч. ред. Н. </w:t>
      </w:r>
      <w:proofErr w:type="spellStart"/>
      <w:proofErr w:type="gramStart"/>
      <w:r w:rsidRPr="00CA3AAE">
        <w:rPr>
          <w:rFonts w:ascii="Times New Roman" w:hAnsi="Times New Roman" w:cs="Times New Roman"/>
          <w:sz w:val="28"/>
          <w:szCs w:val="28"/>
        </w:rPr>
        <w:t>Г.Привалова</w:t>
      </w:r>
      <w:proofErr w:type="spellEnd"/>
      <w:r w:rsidRPr="00CA3AAE">
        <w:rPr>
          <w:rFonts w:ascii="Times New Roman" w:hAnsi="Times New Roman" w:cs="Times New Roman"/>
          <w:sz w:val="28"/>
          <w:szCs w:val="28"/>
        </w:rPr>
        <w:t>.-</w:t>
      </w:r>
      <w:proofErr w:type="gramEnd"/>
      <w:r w:rsidRPr="00CA3AAE">
        <w:rPr>
          <w:rFonts w:ascii="Times New Roman" w:hAnsi="Times New Roman" w:cs="Times New Roman"/>
          <w:sz w:val="28"/>
          <w:szCs w:val="28"/>
        </w:rPr>
        <w:t xml:space="preserve"> Екатеринбург: Изд-во </w:t>
      </w:r>
      <w:proofErr w:type="spellStart"/>
      <w:r w:rsidRPr="00CA3AAE">
        <w:rPr>
          <w:rFonts w:ascii="Times New Roman" w:hAnsi="Times New Roman" w:cs="Times New Roman"/>
          <w:sz w:val="28"/>
          <w:szCs w:val="28"/>
        </w:rPr>
        <w:t>УралГСХА</w:t>
      </w:r>
      <w:proofErr w:type="spellEnd"/>
      <w:r w:rsidRPr="00CA3AAE">
        <w:rPr>
          <w:rFonts w:ascii="Times New Roman" w:hAnsi="Times New Roman" w:cs="Times New Roman"/>
          <w:sz w:val="28"/>
          <w:szCs w:val="28"/>
        </w:rPr>
        <w:t xml:space="preserve">, 2003. 13. </w:t>
      </w:r>
      <w:r w:rsidRPr="00CA3AAE">
        <w:rPr>
          <w:rFonts w:ascii="Times New Roman" w:hAnsi="Times New Roman" w:cs="Times New Roman"/>
          <w:i/>
          <w:iCs/>
          <w:sz w:val="28"/>
          <w:szCs w:val="28"/>
        </w:rPr>
        <w:t xml:space="preserve">Привалов, Н. Г. </w:t>
      </w:r>
      <w:r w:rsidRPr="00CA3AAE">
        <w:rPr>
          <w:rFonts w:ascii="Times New Roman" w:hAnsi="Times New Roman" w:cs="Times New Roman"/>
          <w:sz w:val="28"/>
          <w:szCs w:val="28"/>
        </w:rPr>
        <w:t xml:space="preserve">Экономика некоммерческого сектора/ Н. Г. Привалов. – Екатеринбург: Уральское изд-во; Москва: Большая Медведица, 2009. 96 </w:t>
      </w:r>
    </w:p>
    <w:p w:rsidR="00CA3AAE" w:rsidRPr="00CA3AAE" w:rsidRDefault="00CA3AAE" w:rsidP="00CA3AAE">
      <w:pPr>
        <w:pStyle w:val="a3"/>
        <w:ind w:left="-993"/>
        <w:jc w:val="both"/>
        <w:rPr>
          <w:rFonts w:ascii="Times New Roman" w:hAnsi="Times New Roman" w:cs="Times New Roman"/>
          <w:sz w:val="28"/>
          <w:szCs w:val="28"/>
          <w:lang w:val="en-US"/>
        </w:rPr>
      </w:pPr>
      <w:r w:rsidRPr="00CA3AAE">
        <w:rPr>
          <w:rFonts w:ascii="Times New Roman" w:hAnsi="Times New Roman" w:cs="Times New Roman"/>
          <w:sz w:val="28"/>
          <w:szCs w:val="28"/>
        </w:rPr>
        <w:t xml:space="preserve">14. Социальная работа: теория и практика: Учеб. пособие. – М.: Инфра-М, 2001. –103 с. 15. </w:t>
      </w:r>
      <w:proofErr w:type="spellStart"/>
      <w:r w:rsidRPr="00CA3AAE">
        <w:rPr>
          <w:rFonts w:ascii="Times New Roman" w:hAnsi="Times New Roman" w:cs="Times New Roman"/>
          <w:i/>
          <w:iCs/>
          <w:sz w:val="28"/>
          <w:szCs w:val="28"/>
        </w:rPr>
        <w:t>Эрхард</w:t>
      </w:r>
      <w:proofErr w:type="spellEnd"/>
      <w:r w:rsidRPr="00CA3AAE">
        <w:rPr>
          <w:rFonts w:ascii="Times New Roman" w:hAnsi="Times New Roman" w:cs="Times New Roman"/>
          <w:i/>
          <w:iCs/>
          <w:sz w:val="28"/>
          <w:szCs w:val="28"/>
        </w:rPr>
        <w:t xml:space="preserve">, Л. </w:t>
      </w:r>
      <w:r w:rsidRPr="00CA3AAE">
        <w:rPr>
          <w:rFonts w:ascii="Times New Roman" w:hAnsi="Times New Roman" w:cs="Times New Roman"/>
          <w:sz w:val="28"/>
          <w:szCs w:val="28"/>
        </w:rPr>
        <w:t xml:space="preserve">Благосостояние для всех/ Л. </w:t>
      </w:r>
      <w:proofErr w:type="spellStart"/>
      <w:proofErr w:type="gramStart"/>
      <w:r w:rsidRPr="00CA3AAE">
        <w:rPr>
          <w:rFonts w:ascii="Times New Roman" w:hAnsi="Times New Roman" w:cs="Times New Roman"/>
          <w:sz w:val="28"/>
          <w:szCs w:val="28"/>
        </w:rPr>
        <w:t>Эрхард</w:t>
      </w:r>
      <w:proofErr w:type="spellEnd"/>
      <w:r w:rsidRPr="00CA3AAE">
        <w:rPr>
          <w:rFonts w:ascii="Times New Roman" w:hAnsi="Times New Roman" w:cs="Times New Roman"/>
          <w:sz w:val="28"/>
          <w:szCs w:val="28"/>
        </w:rPr>
        <w:t>.-</w:t>
      </w:r>
      <w:proofErr w:type="gramEnd"/>
      <w:r w:rsidRPr="00CA3AAE">
        <w:rPr>
          <w:rFonts w:ascii="Times New Roman" w:hAnsi="Times New Roman" w:cs="Times New Roman"/>
          <w:sz w:val="28"/>
          <w:szCs w:val="28"/>
        </w:rPr>
        <w:t xml:space="preserve"> М.: Изд-во «ДЕЛО», 2001. – 336 с. 16. </w:t>
      </w:r>
      <w:proofErr w:type="spellStart"/>
      <w:r w:rsidRPr="00CA3AAE">
        <w:rPr>
          <w:rFonts w:ascii="Times New Roman" w:hAnsi="Times New Roman" w:cs="Times New Roman"/>
          <w:i/>
          <w:iCs/>
          <w:sz w:val="28"/>
          <w:szCs w:val="28"/>
        </w:rPr>
        <w:t>Якимец</w:t>
      </w:r>
      <w:proofErr w:type="spellEnd"/>
      <w:r w:rsidRPr="00CA3AAE">
        <w:rPr>
          <w:rFonts w:ascii="Times New Roman" w:hAnsi="Times New Roman" w:cs="Times New Roman"/>
          <w:i/>
          <w:iCs/>
          <w:sz w:val="28"/>
          <w:szCs w:val="28"/>
        </w:rPr>
        <w:t xml:space="preserve">, В. Н. </w:t>
      </w:r>
      <w:r w:rsidRPr="00CA3AAE">
        <w:rPr>
          <w:rFonts w:ascii="Times New Roman" w:hAnsi="Times New Roman" w:cs="Times New Roman"/>
          <w:sz w:val="28"/>
          <w:szCs w:val="28"/>
        </w:rPr>
        <w:t xml:space="preserve">Социальное партнерство в России: исследования, механизмы, опыт: Доклад на Всероссийской конференции «Социальное партнерство. Российский опыт. Год 2000». 17. </w:t>
      </w:r>
      <w:proofErr w:type="spellStart"/>
      <w:r w:rsidRPr="00CA3AAE">
        <w:rPr>
          <w:rFonts w:ascii="Times New Roman" w:hAnsi="Times New Roman" w:cs="Times New Roman"/>
          <w:i/>
          <w:iCs/>
          <w:sz w:val="28"/>
          <w:szCs w:val="28"/>
        </w:rPr>
        <w:t>Якимец</w:t>
      </w:r>
      <w:proofErr w:type="spellEnd"/>
      <w:r w:rsidRPr="00CA3AAE">
        <w:rPr>
          <w:rFonts w:ascii="Times New Roman" w:hAnsi="Times New Roman" w:cs="Times New Roman"/>
          <w:i/>
          <w:iCs/>
          <w:sz w:val="28"/>
          <w:szCs w:val="28"/>
        </w:rPr>
        <w:t xml:space="preserve">, В. Н. </w:t>
      </w:r>
      <w:r w:rsidRPr="00CA3AAE">
        <w:rPr>
          <w:rFonts w:ascii="Times New Roman" w:hAnsi="Times New Roman" w:cs="Times New Roman"/>
          <w:sz w:val="28"/>
          <w:szCs w:val="28"/>
        </w:rPr>
        <w:t xml:space="preserve">О социально ориентированных НКО и региональных программах их поддержки для получения субсидий из федерального бюджета бюджетам субъектов РФ в 2011-2013 годах (Презентация в </w:t>
      </w:r>
      <w:proofErr w:type="spellStart"/>
      <w:r w:rsidRPr="00CA3AAE">
        <w:rPr>
          <w:rFonts w:ascii="Times New Roman" w:hAnsi="Times New Roman" w:cs="Times New Roman"/>
          <w:sz w:val="28"/>
          <w:szCs w:val="28"/>
        </w:rPr>
        <w:t>г.Вологде</w:t>
      </w:r>
      <w:proofErr w:type="spellEnd"/>
      <w:r w:rsidRPr="00CA3AAE">
        <w:rPr>
          <w:rFonts w:ascii="Times New Roman" w:hAnsi="Times New Roman" w:cs="Times New Roman"/>
          <w:sz w:val="28"/>
          <w:szCs w:val="28"/>
        </w:rPr>
        <w:t xml:space="preserve"> 18–19 августа 2011 г.). </w:t>
      </w:r>
      <w:r w:rsidRPr="00CA3AAE">
        <w:rPr>
          <w:rFonts w:ascii="Times New Roman" w:hAnsi="Times New Roman" w:cs="Times New Roman"/>
          <w:sz w:val="28"/>
          <w:szCs w:val="28"/>
          <w:lang w:val="en-US"/>
        </w:rPr>
        <w:t xml:space="preserve">18. Aziz, Abdul. </w:t>
      </w:r>
      <w:proofErr w:type="spellStart"/>
      <w:r w:rsidRPr="00CA3AAE">
        <w:rPr>
          <w:rFonts w:ascii="Times New Roman" w:hAnsi="Times New Roman" w:cs="Times New Roman"/>
          <w:sz w:val="28"/>
          <w:szCs w:val="28"/>
          <w:lang w:val="en-US"/>
        </w:rPr>
        <w:t>Labour</w:t>
      </w:r>
      <w:proofErr w:type="spellEnd"/>
      <w:r w:rsidRPr="00CA3AAE">
        <w:rPr>
          <w:rFonts w:ascii="Times New Roman" w:hAnsi="Times New Roman" w:cs="Times New Roman"/>
          <w:sz w:val="28"/>
          <w:szCs w:val="28"/>
          <w:lang w:val="en-US"/>
        </w:rPr>
        <w:t xml:space="preserve"> problem of a developing economy/ Abdul Aziz. – New Delhi,1984. </w:t>
      </w:r>
    </w:p>
    <w:p w:rsidR="00126F15" w:rsidRPr="009E23CC" w:rsidRDefault="00CA3AAE" w:rsidP="00CA3AAE">
      <w:pPr>
        <w:pStyle w:val="a3"/>
        <w:ind w:left="-993"/>
        <w:jc w:val="both"/>
        <w:rPr>
          <w:rFonts w:ascii="Times New Roman" w:hAnsi="Times New Roman" w:cs="Times New Roman"/>
          <w:sz w:val="28"/>
          <w:szCs w:val="28"/>
          <w:lang w:val="en-US"/>
        </w:rPr>
      </w:pPr>
      <w:r w:rsidRPr="009E23CC">
        <w:rPr>
          <w:rFonts w:ascii="Times New Roman" w:hAnsi="Times New Roman" w:cs="Times New Roman"/>
          <w:sz w:val="28"/>
          <w:szCs w:val="28"/>
          <w:lang w:val="en-US"/>
        </w:rPr>
        <w:t xml:space="preserve">19. </w:t>
      </w:r>
      <w:r w:rsidRPr="009E23CC">
        <w:rPr>
          <w:rFonts w:ascii="Times New Roman" w:hAnsi="Times New Roman" w:cs="Times New Roman"/>
          <w:color w:val="0000FF"/>
          <w:sz w:val="28"/>
          <w:szCs w:val="28"/>
          <w:lang w:val="en-US"/>
        </w:rPr>
        <w:t>http://www.lib.ru/FILOSOF/RUSSO/prawo.txt</w:t>
      </w:r>
    </w:p>
    <w:sectPr w:rsidR="00126F15" w:rsidRPr="009E23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0934E80"/>
    <w:multiLevelType w:val="hybridMultilevel"/>
    <w:tmpl w:val="7B5F1BF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4A7221D"/>
    <w:multiLevelType w:val="hybridMultilevel"/>
    <w:tmpl w:val="BA2046E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71164E3"/>
    <w:multiLevelType w:val="hybridMultilevel"/>
    <w:tmpl w:val="DB1B780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67BC271"/>
    <w:multiLevelType w:val="hybridMultilevel"/>
    <w:tmpl w:val="EDCA178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01D3D70"/>
    <w:multiLevelType w:val="hybridMultilevel"/>
    <w:tmpl w:val="DAF4654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F66B8CF"/>
    <w:multiLevelType w:val="hybridMultilevel"/>
    <w:tmpl w:val="638FB6E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441"/>
    <w:rsid w:val="000B1C4B"/>
    <w:rsid w:val="00126F15"/>
    <w:rsid w:val="002F5A4F"/>
    <w:rsid w:val="009A133B"/>
    <w:rsid w:val="009E23CC"/>
    <w:rsid w:val="00CA3AAE"/>
    <w:rsid w:val="00ED54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3FA919-4207-4DD7-9E51-E302BD4E1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CA3AAE"/>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CA3AAE"/>
    <w:pPr>
      <w:spacing w:after="0" w:line="240" w:lineRule="auto"/>
    </w:pPr>
  </w:style>
  <w:style w:type="paragraph" w:styleId="a4">
    <w:name w:val="Balloon Text"/>
    <w:basedOn w:val="a"/>
    <w:link w:val="a5"/>
    <w:uiPriority w:val="99"/>
    <w:semiHidden/>
    <w:unhideWhenUsed/>
    <w:rsid w:val="009A133B"/>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9A13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12919</Words>
  <Characters>73640</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10</cp:revision>
  <cp:lastPrinted>2024-09-30T07:55:00Z</cp:lastPrinted>
  <dcterms:created xsi:type="dcterms:W3CDTF">2024-09-25T11:02:00Z</dcterms:created>
  <dcterms:modified xsi:type="dcterms:W3CDTF">2025-01-27T09:44:00Z</dcterms:modified>
</cp:coreProperties>
</file>